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C4C9" w14:textId="76135157" w:rsidR="006C014B" w:rsidRPr="002B794C" w:rsidRDefault="008748D9" w:rsidP="00AD4AAD">
      <w:pPr>
        <w:pStyle w:val="Title"/>
      </w:pPr>
      <w:bookmarkStart w:id="0" w:name="_Toc96950363"/>
      <w:r>
        <w:t>`</w:t>
      </w:r>
      <w:r w:rsidR="006C014B" w:rsidRPr="002B794C">
        <w:t>Appendix B – Self-Assessment Form</w:t>
      </w:r>
      <w:bookmarkEnd w:id="0"/>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r w:rsidRPr="00D1226A">
              <w:rPr>
                <w:rFonts w:ascii="Arial" w:eastAsia="Arial" w:hAnsi="Arial"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363CA866"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5013DFE6" w14:textId="68678DF9" w:rsidR="008748D9" w:rsidRPr="00D1226A" w:rsidRDefault="008748D9" w:rsidP="00E06372">
            <w:pPr>
              <w:rPr>
                <w:rFonts w:ascii="Arial" w:eastAsia="Arial" w:hAnsi="Arial" w:cs="Arial"/>
                <w:bCs/>
                <w:szCs w:val="24"/>
              </w:rPr>
            </w:pPr>
            <w:r>
              <w:rPr>
                <w:rFonts w:ascii="Arial" w:eastAsia="Arial" w:hAnsi="Arial" w:cs="Arial"/>
                <w:bCs/>
                <w:szCs w:val="24"/>
              </w:rPr>
              <w:t>Yes</w:t>
            </w:r>
          </w:p>
        </w:tc>
        <w:tc>
          <w:tcPr>
            <w:tcW w:w="4394" w:type="dxa"/>
          </w:tcPr>
          <w:p w14:paraId="12387B24" w14:textId="77777777" w:rsidR="00F51A06" w:rsidRDefault="00F51A06" w:rsidP="00E06372">
            <w:pPr>
              <w:rPr>
                <w:rFonts w:ascii="Arial" w:eastAsia="Arial" w:hAnsi="Arial" w:cs="Arial"/>
                <w:bCs/>
                <w:szCs w:val="24"/>
              </w:rPr>
            </w:pPr>
          </w:p>
          <w:p w14:paraId="6198B6CE" w14:textId="7D0CB317" w:rsidR="008748D9" w:rsidRPr="00D1226A" w:rsidRDefault="008748D9" w:rsidP="00E06372">
            <w:pPr>
              <w:rPr>
                <w:rFonts w:ascii="Arial" w:eastAsia="Arial" w:hAnsi="Arial" w:cs="Arial"/>
                <w:bCs/>
                <w:szCs w:val="24"/>
              </w:rPr>
            </w:pPr>
            <w:r>
              <w:rPr>
                <w:rFonts w:ascii="Arial" w:eastAsia="Arial" w:hAnsi="Arial" w:cs="Arial"/>
                <w:bCs/>
                <w:szCs w:val="24"/>
              </w:rPr>
              <w:t>As set out in the Complaints Policy</w:t>
            </w: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7A41960F"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30A8ECA8" w14:textId="5DEBA235" w:rsidR="008748D9" w:rsidRPr="00D1226A" w:rsidRDefault="008748D9" w:rsidP="00E06372">
            <w:pPr>
              <w:rPr>
                <w:rFonts w:ascii="Arial" w:eastAsia="Arial" w:hAnsi="Arial" w:cs="Arial"/>
                <w:bCs/>
                <w:szCs w:val="24"/>
              </w:rPr>
            </w:pPr>
            <w:r>
              <w:rPr>
                <w:rFonts w:ascii="Arial" w:eastAsia="Arial" w:hAnsi="Arial" w:cs="Arial"/>
                <w:bCs/>
                <w:szCs w:val="24"/>
              </w:rPr>
              <w:t>Yes</w:t>
            </w:r>
          </w:p>
        </w:tc>
        <w:tc>
          <w:tcPr>
            <w:tcW w:w="4394" w:type="dxa"/>
          </w:tcPr>
          <w:p w14:paraId="1A7ED9D7" w14:textId="77777777" w:rsidR="00F51A06" w:rsidRDefault="00F51A06" w:rsidP="00E06372">
            <w:pPr>
              <w:rPr>
                <w:rFonts w:ascii="Arial" w:eastAsia="Arial" w:hAnsi="Arial" w:cs="Arial"/>
                <w:bCs/>
                <w:szCs w:val="24"/>
              </w:rPr>
            </w:pPr>
          </w:p>
          <w:p w14:paraId="288F73C8" w14:textId="5DF945C2" w:rsidR="008748D9" w:rsidRPr="00D1226A" w:rsidRDefault="008748D9" w:rsidP="00E06372">
            <w:pPr>
              <w:rPr>
                <w:rFonts w:ascii="Arial" w:eastAsia="Arial" w:hAnsi="Arial" w:cs="Arial"/>
                <w:bCs/>
                <w:szCs w:val="24"/>
              </w:rPr>
            </w:pPr>
            <w:r>
              <w:rPr>
                <w:rFonts w:ascii="Arial" w:eastAsia="Arial" w:hAnsi="Arial" w:cs="Arial"/>
                <w:bCs/>
                <w:szCs w:val="24"/>
              </w:rPr>
              <w:t xml:space="preserve">Staff are </w:t>
            </w:r>
            <w:r w:rsidR="008F3AC6">
              <w:rPr>
                <w:rFonts w:ascii="Arial" w:eastAsia="Arial" w:hAnsi="Arial" w:cs="Arial"/>
                <w:bCs/>
                <w:szCs w:val="24"/>
              </w:rPr>
              <w:t xml:space="preserve">trained to recognise a complaint when presented to them.  The policy states that complaints are </w:t>
            </w:r>
            <w:r w:rsidR="002C7098">
              <w:rPr>
                <w:rFonts w:ascii="Arial" w:eastAsia="Arial" w:hAnsi="Arial" w:cs="Arial"/>
                <w:bCs/>
                <w:szCs w:val="24"/>
              </w:rPr>
              <w:t>received</w:t>
            </w:r>
            <w:r w:rsidR="008F3AC6">
              <w:rPr>
                <w:rFonts w:ascii="Arial" w:eastAsia="Arial" w:hAnsi="Arial" w:cs="Arial"/>
                <w:bCs/>
                <w:szCs w:val="24"/>
              </w:rPr>
              <w:t xml:space="preserve"> and actioned from third parties</w:t>
            </w:r>
            <w:r w:rsidR="002C7098">
              <w:rPr>
                <w:rFonts w:ascii="Arial" w:eastAsia="Arial" w:hAnsi="Arial" w:cs="Arial"/>
                <w:bCs/>
                <w:szCs w:val="24"/>
              </w:rPr>
              <w:t xml:space="preserve"> and followed according to the policy.</w:t>
            </w: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7F349063"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04EEC6AB" w14:textId="294FC1D0" w:rsidR="002C7098" w:rsidRPr="00D1226A" w:rsidRDefault="002C7098" w:rsidP="00E06372">
            <w:pPr>
              <w:rPr>
                <w:rFonts w:ascii="Arial" w:eastAsia="Arial" w:hAnsi="Arial" w:cs="Arial"/>
                <w:bCs/>
                <w:szCs w:val="24"/>
              </w:rPr>
            </w:pPr>
            <w:r>
              <w:rPr>
                <w:rFonts w:ascii="Arial" w:eastAsia="Arial" w:hAnsi="Arial" w:cs="Arial"/>
                <w:bCs/>
                <w:szCs w:val="24"/>
              </w:rPr>
              <w:t>Yes</w:t>
            </w:r>
          </w:p>
        </w:tc>
        <w:tc>
          <w:tcPr>
            <w:tcW w:w="4394" w:type="dxa"/>
          </w:tcPr>
          <w:p w14:paraId="06167BFD" w14:textId="3C0DBE2A" w:rsidR="00F51A06" w:rsidRPr="00D1226A" w:rsidRDefault="00116265" w:rsidP="00E06372">
            <w:pPr>
              <w:rPr>
                <w:rFonts w:ascii="Arial" w:eastAsia="Arial" w:hAnsi="Arial" w:cs="Arial"/>
                <w:bCs/>
                <w:szCs w:val="24"/>
              </w:rPr>
            </w:pPr>
            <w:r>
              <w:rPr>
                <w:rFonts w:ascii="Arial" w:eastAsia="Arial" w:hAnsi="Arial" w:cs="Arial"/>
                <w:bCs/>
                <w:szCs w:val="24"/>
              </w:rPr>
              <w:t>This is set out in the Policy</w:t>
            </w: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5767E62F"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37457851" w14:textId="3541CE6A" w:rsidR="00116265" w:rsidRPr="00D1226A" w:rsidRDefault="00116265" w:rsidP="00E06372">
            <w:pPr>
              <w:rPr>
                <w:rFonts w:ascii="Arial" w:eastAsia="Arial" w:hAnsi="Arial" w:cs="Arial"/>
                <w:bCs/>
                <w:szCs w:val="24"/>
              </w:rPr>
            </w:pPr>
            <w:r>
              <w:rPr>
                <w:rFonts w:ascii="Arial" w:eastAsia="Arial" w:hAnsi="Arial" w:cs="Arial"/>
                <w:bCs/>
                <w:szCs w:val="24"/>
              </w:rPr>
              <w:t>Yes</w:t>
            </w:r>
          </w:p>
        </w:tc>
        <w:tc>
          <w:tcPr>
            <w:tcW w:w="4394" w:type="dxa"/>
          </w:tcPr>
          <w:p w14:paraId="25035184" w14:textId="5DA28654" w:rsidR="00F51A06" w:rsidRPr="00D1226A" w:rsidRDefault="00116265" w:rsidP="00E06372">
            <w:pPr>
              <w:rPr>
                <w:rFonts w:ascii="Arial" w:eastAsia="Arial" w:hAnsi="Arial" w:cs="Arial"/>
                <w:bCs/>
                <w:szCs w:val="24"/>
              </w:rPr>
            </w:pPr>
            <w:r>
              <w:rPr>
                <w:rFonts w:ascii="Arial" w:eastAsia="Arial" w:hAnsi="Arial" w:cs="Arial"/>
                <w:bCs/>
                <w:szCs w:val="24"/>
              </w:rPr>
              <w:t>Exclusions are listed in the Policy</w:t>
            </w: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lastRenderedPageBreak/>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A complaints policy must clearly set out the circumstances in which a matter will not be considered, 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0A85AF66"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49640955" w14:textId="69BAF5D5" w:rsidR="00376E55" w:rsidRPr="00D1226A" w:rsidRDefault="00376E55" w:rsidP="00E06372">
            <w:pPr>
              <w:rPr>
                <w:rFonts w:ascii="Arial" w:eastAsia="Arial" w:hAnsi="Arial" w:cs="Arial"/>
                <w:bCs/>
                <w:szCs w:val="24"/>
              </w:rPr>
            </w:pPr>
            <w:r>
              <w:rPr>
                <w:rFonts w:ascii="Arial" w:eastAsia="Arial" w:hAnsi="Arial" w:cs="Arial"/>
                <w:bCs/>
                <w:szCs w:val="24"/>
              </w:rPr>
              <w:t>Yes</w:t>
            </w:r>
          </w:p>
        </w:tc>
        <w:tc>
          <w:tcPr>
            <w:tcW w:w="4394" w:type="dxa"/>
          </w:tcPr>
          <w:p w14:paraId="2889F1CE" w14:textId="20061CA8" w:rsidR="00F51A06" w:rsidRPr="00D1226A" w:rsidRDefault="00376E55" w:rsidP="00E06372">
            <w:pPr>
              <w:rPr>
                <w:rFonts w:ascii="Arial" w:eastAsia="Arial" w:hAnsi="Arial" w:cs="Arial"/>
                <w:bCs/>
                <w:szCs w:val="24"/>
              </w:rPr>
            </w:pPr>
            <w:r>
              <w:rPr>
                <w:rFonts w:ascii="Arial" w:eastAsia="Arial" w:hAnsi="Arial" w:cs="Arial"/>
                <w:bCs/>
                <w:szCs w:val="24"/>
              </w:rPr>
              <w:t>Exclusions are listed in the Policy</w:t>
            </w: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1EC0D007" w14:textId="77777777" w:rsidR="00F51A06" w:rsidRDefault="00F51A06" w:rsidP="00E06372">
            <w:pPr>
              <w:rPr>
                <w:rFonts w:ascii="Arial" w:eastAsia="Arial" w:hAnsi="Arial" w:cs="Arial"/>
                <w:bCs/>
                <w:szCs w:val="24"/>
              </w:rPr>
            </w:pPr>
            <w:r w:rsidRPr="00D1226A">
              <w:rPr>
                <w:rFonts w:ascii="Arial" w:eastAsia="Arial" w:hAnsi="Arial" w:cs="Arial"/>
                <w:bCs/>
                <w:szCs w:val="24"/>
              </w:rPr>
              <w:t> </w:t>
            </w:r>
          </w:p>
          <w:p w14:paraId="29EDE915" w14:textId="09CCF5D0" w:rsidR="007F58B3" w:rsidRPr="00D1226A" w:rsidRDefault="007F58B3" w:rsidP="00E06372">
            <w:pPr>
              <w:rPr>
                <w:rFonts w:ascii="Arial" w:eastAsia="Arial" w:hAnsi="Arial" w:cs="Arial"/>
                <w:bCs/>
                <w:szCs w:val="24"/>
              </w:rPr>
            </w:pPr>
            <w:r>
              <w:rPr>
                <w:rFonts w:ascii="Arial" w:eastAsia="Arial" w:hAnsi="Arial" w:cs="Arial"/>
                <w:bCs/>
                <w:szCs w:val="24"/>
              </w:rPr>
              <w:t>Yes</w:t>
            </w:r>
          </w:p>
        </w:tc>
        <w:tc>
          <w:tcPr>
            <w:tcW w:w="4394" w:type="dxa"/>
          </w:tcPr>
          <w:p w14:paraId="4F847BFF" w14:textId="0400B006" w:rsidR="00F51A06" w:rsidRPr="00D1226A" w:rsidRDefault="007F58B3" w:rsidP="00E06372">
            <w:pPr>
              <w:rPr>
                <w:rFonts w:ascii="Arial" w:eastAsia="Arial" w:hAnsi="Arial" w:cs="Arial"/>
                <w:bCs/>
                <w:szCs w:val="24"/>
              </w:rPr>
            </w:pPr>
            <w:r>
              <w:rPr>
                <w:rFonts w:ascii="Arial" w:eastAsia="Arial" w:hAnsi="Arial" w:cs="Arial"/>
                <w:bCs/>
                <w:szCs w:val="24"/>
              </w:rPr>
              <w:t>Stated in the Complaints Policy</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68F0B317" w14:textId="77777777" w:rsidR="001D593D" w:rsidRDefault="001D593D">
            <w:pPr>
              <w:rPr>
                <w:rFonts w:ascii="Arial" w:hAnsi="Arial" w:cs="Arial"/>
              </w:rPr>
            </w:pPr>
            <w:r w:rsidRPr="00D1226A">
              <w:rPr>
                <w:rFonts w:ascii="Arial" w:hAnsi="Arial" w:cs="Arial"/>
              </w:rPr>
              <w:t> </w:t>
            </w:r>
          </w:p>
          <w:p w14:paraId="3D8E1661" w14:textId="39602C05" w:rsidR="007F58B3" w:rsidRPr="00D1226A" w:rsidRDefault="007F58B3">
            <w:pPr>
              <w:rPr>
                <w:rFonts w:ascii="Arial" w:hAnsi="Arial" w:cs="Arial"/>
              </w:rPr>
            </w:pPr>
            <w:r>
              <w:rPr>
                <w:rFonts w:ascii="Arial" w:hAnsi="Arial" w:cs="Arial"/>
              </w:rPr>
              <w:t>Yes</w:t>
            </w:r>
          </w:p>
        </w:tc>
        <w:tc>
          <w:tcPr>
            <w:tcW w:w="4394" w:type="dxa"/>
            <w:shd w:val="clear" w:color="auto" w:fill="F2F2F2" w:themeFill="background1" w:themeFillShade="F2"/>
          </w:tcPr>
          <w:p w14:paraId="5704DFFF" w14:textId="2FB47E4C" w:rsidR="001D593D" w:rsidRPr="00D1226A" w:rsidRDefault="001E2D61">
            <w:pPr>
              <w:rPr>
                <w:rFonts w:ascii="Arial" w:hAnsi="Arial" w:cs="Arial"/>
              </w:rPr>
            </w:pPr>
            <w:r>
              <w:rPr>
                <w:rFonts w:ascii="Arial" w:hAnsi="Arial" w:cs="Arial"/>
              </w:rPr>
              <w:t>Explained</w:t>
            </w:r>
            <w:r w:rsidR="007F58B3">
              <w:rPr>
                <w:rFonts w:ascii="Arial" w:hAnsi="Arial" w:cs="Arial"/>
              </w:rPr>
              <w:t xml:space="preserve"> in the Policy</w:t>
            </w: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3EF17B6A" w14:textId="77777777" w:rsidR="001D593D" w:rsidRDefault="001D593D">
            <w:pPr>
              <w:rPr>
                <w:rFonts w:ascii="Arial" w:hAnsi="Arial" w:cs="Arial"/>
              </w:rPr>
            </w:pPr>
            <w:r w:rsidRPr="00D1226A">
              <w:rPr>
                <w:rFonts w:ascii="Arial" w:hAnsi="Arial" w:cs="Arial"/>
              </w:rPr>
              <w:t> </w:t>
            </w:r>
          </w:p>
          <w:p w14:paraId="56BDFD3E" w14:textId="0952D8C4" w:rsidR="001E2D61" w:rsidRPr="00D1226A" w:rsidRDefault="001E2D61">
            <w:pPr>
              <w:rPr>
                <w:rFonts w:ascii="Arial" w:hAnsi="Arial" w:cs="Arial"/>
              </w:rPr>
            </w:pPr>
            <w:r>
              <w:rPr>
                <w:rFonts w:ascii="Arial" w:hAnsi="Arial" w:cs="Arial"/>
              </w:rPr>
              <w:t>Yes</w:t>
            </w:r>
          </w:p>
        </w:tc>
        <w:tc>
          <w:tcPr>
            <w:tcW w:w="4394" w:type="dxa"/>
            <w:shd w:val="clear" w:color="auto" w:fill="F2F2F2" w:themeFill="background1" w:themeFillShade="F2"/>
          </w:tcPr>
          <w:p w14:paraId="1998FE5A" w14:textId="169FC97C" w:rsidR="001D593D" w:rsidRPr="00D1226A" w:rsidRDefault="001E2D61">
            <w:pPr>
              <w:rPr>
                <w:rFonts w:ascii="Arial" w:hAnsi="Arial" w:cs="Arial"/>
              </w:rPr>
            </w:pPr>
            <w:r>
              <w:rPr>
                <w:rFonts w:ascii="Arial" w:hAnsi="Arial" w:cs="Arial"/>
              </w:rPr>
              <w:t xml:space="preserve">Any issues arising out of satisfaction surveys are </w:t>
            </w:r>
            <w:r w:rsidR="009D6D2E">
              <w:rPr>
                <w:rFonts w:ascii="Arial" w:hAnsi="Arial" w:cs="Arial"/>
              </w:rPr>
              <w:t>followed up and support is provided to help the tenant resolve their issue either through the Complaints Policy or a more appropriate procedure.</w:t>
            </w:r>
          </w:p>
        </w:tc>
      </w:tr>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F8B96DF" w14:textId="77777777" w:rsidR="009D6D2E" w:rsidRDefault="009D6D2E"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lastRenderedPageBreak/>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63A84E82" w14:textId="2A3B5451" w:rsidR="001D593D" w:rsidRPr="00D1226A" w:rsidRDefault="00E56EC8" w:rsidP="00864FDA">
            <w:pPr>
              <w:spacing w:line="240" w:lineRule="auto"/>
              <w:rPr>
                <w:rFonts w:ascii="Arial" w:hAnsi="Arial" w:cs="Arial"/>
                <w:color w:val="000000"/>
                <w:lang w:eastAsia="en-GB"/>
              </w:rPr>
            </w:pPr>
            <w:r>
              <w:rPr>
                <w:rFonts w:ascii="Arial" w:hAnsi="Arial" w:cs="Arial"/>
                <w:color w:val="000000"/>
                <w:lang w:eastAsia="en-GB"/>
              </w:rPr>
              <w:t>Yes</w:t>
            </w:r>
          </w:p>
        </w:tc>
        <w:tc>
          <w:tcPr>
            <w:tcW w:w="4394" w:type="dxa"/>
          </w:tcPr>
          <w:p w14:paraId="3501A352" w14:textId="69B0F610" w:rsidR="001D593D" w:rsidRPr="00D1226A" w:rsidRDefault="006A7A36" w:rsidP="00864FDA">
            <w:pPr>
              <w:spacing w:line="240" w:lineRule="auto"/>
              <w:rPr>
                <w:rFonts w:ascii="Arial" w:hAnsi="Arial" w:cs="Arial"/>
                <w:color w:val="000000"/>
                <w:lang w:eastAsia="en-GB"/>
              </w:rPr>
            </w:pPr>
            <w:r>
              <w:rPr>
                <w:rFonts w:ascii="Arial" w:hAnsi="Arial" w:cs="Arial"/>
                <w:color w:val="000000"/>
                <w:lang w:eastAsia="en-GB"/>
              </w:rPr>
              <w:t>Complaints</w:t>
            </w:r>
            <w:r w:rsidR="00E56EC8">
              <w:rPr>
                <w:rFonts w:ascii="Arial" w:hAnsi="Arial" w:cs="Arial"/>
                <w:color w:val="000000"/>
                <w:lang w:eastAsia="en-GB"/>
              </w:rPr>
              <w:t xml:space="preserve"> are received from email, phone calls, in person, </w:t>
            </w:r>
            <w:r>
              <w:rPr>
                <w:rFonts w:ascii="Arial" w:hAnsi="Arial" w:cs="Arial"/>
                <w:color w:val="000000"/>
                <w:lang w:eastAsia="en-GB"/>
              </w:rPr>
              <w:t xml:space="preserve">and </w:t>
            </w:r>
            <w:r w:rsidR="00E56EC8">
              <w:rPr>
                <w:rFonts w:ascii="Arial" w:hAnsi="Arial" w:cs="Arial"/>
                <w:color w:val="000000"/>
                <w:lang w:eastAsia="en-GB"/>
              </w:rPr>
              <w:t>in writing</w:t>
            </w:r>
            <w:r>
              <w:rPr>
                <w:rFonts w:ascii="Arial" w:hAnsi="Arial" w:cs="Arial"/>
                <w:color w:val="000000"/>
                <w:lang w:eastAsia="en-GB"/>
              </w:rPr>
              <w:t>.</w:t>
            </w: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1908FF">
              <w:rPr>
                <w:rFonts w:ascii="Arial" w:eastAsia="Arial" w:hAnsi="Arial" w:cs="Arial"/>
                <w:color w:val="000000"/>
                <w:szCs w:val="24"/>
                <w:lang w:eastAsia="en-GB"/>
              </w:rPr>
              <w:t>Landlords must make their complaint policy available in a clear and accessible format for all residents. This will detail the number of stages involved, what will happen at each stage and the timeframes for responding.</w:t>
            </w:r>
            <w:r w:rsidRPr="00D1226A">
              <w:rPr>
                <w:rFonts w:ascii="Arial" w:eastAsia="Arial" w:hAnsi="Arial" w:cs="Arial"/>
                <w:color w:val="000000"/>
                <w:szCs w:val="24"/>
                <w:lang w:eastAsia="en-GB"/>
              </w:rPr>
              <w:t xml:space="preserve"> </w:t>
            </w:r>
          </w:p>
        </w:tc>
        <w:tc>
          <w:tcPr>
            <w:tcW w:w="1276" w:type="dxa"/>
            <w:hideMark/>
          </w:tcPr>
          <w:p w14:paraId="559DBB27" w14:textId="09F8962C"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A622F">
              <w:rPr>
                <w:rFonts w:ascii="Arial" w:hAnsi="Arial" w:cs="Arial"/>
                <w:color w:val="000000"/>
                <w:lang w:eastAsia="en-GB"/>
              </w:rPr>
              <w:t>Yes</w:t>
            </w:r>
          </w:p>
        </w:tc>
        <w:tc>
          <w:tcPr>
            <w:tcW w:w="4394" w:type="dxa"/>
          </w:tcPr>
          <w:p w14:paraId="6CD7EB99" w14:textId="6162039E" w:rsidR="001D593D" w:rsidRPr="00D1226A" w:rsidRDefault="00EA622F" w:rsidP="00864FDA">
            <w:pPr>
              <w:spacing w:line="240" w:lineRule="auto"/>
              <w:rPr>
                <w:rFonts w:ascii="Arial" w:hAnsi="Arial" w:cs="Arial"/>
                <w:color w:val="000000"/>
                <w:lang w:eastAsia="en-GB"/>
              </w:rPr>
            </w:pPr>
            <w:r>
              <w:rPr>
                <w:rFonts w:ascii="Arial" w:hAnsi="Arial" w:cs="Arial"/>
                <w:color w:val="000000"/>
                <w:lang w:eastAsia="en-GB"/>
              </w:rPr>
              <w:t>This is set out in the Tenancy Agreement</w:t>
            </w:r>
            <w:r w:rsidR="00A72D77">
              <w:rPr>
                <w:rFonts w:ascii="Arial" w:hAnsi="Arial" w:cs="Arial"/>
                <w:color w:val="000000"/>
                <w:lang w:eastAsia="en-GB"/>
              </w:rPr>
              <w:t xml:space="preserve"> and posters are displayed</w:t>
            </w:r>
            <w:r w:rsidR="001908FF">
              <w:rPr>
                <w:rFonts w:ascii="Arial" w:hAnsi="Arial" w:cs="Arial"/>
                <w:color w:val="000000"/>
                <w:lang w:eastAsia="en-GB"/>
              </w:rPr>
              <w:t xml:space="preserve"> giving details of the</w:t>
            </w:r>
            <w:r w:rsidR="006F62C4">
              <w:rPr>
                <w:rFonts w:ascii="Arial" w:hAnsi="Arial" w:cs="Arial"/>
                <w:color w:val="000000"/>
                <w:lang w:eastAsia="en-GB"/>
              </w:rPr>
              <w:t xml:space="preserve"> </w:t>
            </w:r>
            <w:r w:rsidR="001908FF">
              <w:rPr>
                <w:rFonts w:ascii="Arial" w:hAnsi="Arial" w:cs="Arial"/>
                <w:color w:val="000000"/>
                <w:lang w:eastAsia="en-GB"/>
              </w:rPr>
              <w:t>procedure.</w:t>
            </w: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476402C1" w14:textId="7C8704B8"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825DA6">
              <w:rPr>
                <w:rFonts w:ascii="Arial" w:hAnsi="Arial" w:cs="Arial"/>
                <w:color w:val="000000"/>
                <w:lang w:eastAsia="en-GB"/>
              </w:rPr>
              <w:t>No</w:t>
            </w:r>
          </w:p>
        </w:tc>
        <w:tc>
          <w:tcPr>
            <w:tcW w:w="4394" w:type="dxa"/>
          </w:tcPr>
          <w:p w14:paraId="15C01D9D" w14:textId="410C9584" w:rsidR="001D593D" w:rsidRPr="00D1226A" w:rsidRDefault="00825DA6" w:rsidP="00864FDA">
            <w:pPr>
              <w:spacing w:line="240" w:lineRule="auto"/>
              <w:rPr>
                <w:rFonts w:ascii="Arial" w:hAnsi="Arial" w:cs="Arial"/>
                <w:color w:val="000000"/>
                <w:lang w:eastAsia="en-GB"/>
              </w:rPr>
            </w:pPr>
            <w:r>
              <w:rPr>
                <w:rFonts w:ascii="Arial" w:hAnsi="Arial" w:cs="Arial"/>
                <w:color w:val="000000"/>
                <w:lang w:eastAsia="en-GB"/>
              </w:rPr>
              <w:t>The revised Complaints Policy is currently in the process of being added to the website.</w:t>
            </w: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0C529A0B"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5905AD">
              <w:rPr>
                <w:rFonts w:ascii="Arial" w:hAnsi="Arial" w:cs="Arial"/>
                <w:color w:val="000000"/>
                <w:lang w:eastAsia="en-GB"/>
              </w:rPr>
              <w:t>Yes</w:t>
            </w:r>
          </w:p>
        </w:tc>
        <w:tc>
          <w:tcPr>
            <w:tcW w:w="4394" w:type="dxa"/>
          </w:tcPr>
          <w:p w14:paraId="001848DE" w14:textId="291346A3" w:rsidR="001D593D" w:rsidRPr="00D1226A" w:rsidRDefault="005905AD" w:rsidP="00864FDA">
            <w:pPr>
              <w:spacing w:line="240" w:lineRule="auto"/>
              <w:rPr>
                <w:rFonts w:ascii="Arial" w:hAnsi="Arial" w:cs="Arial"/>
                <w:color w:val="000000"/>
                <w:lang w:eastAsia="en-GB"/>
              </w:rPr>
            </w:pPr>
            <w:r>
              <w:rPr>
                <w:rFonts w:ascii="Arial" w:hAnsi="Arial" w:cs="Arial"/>
                <w:color w:val="000000"/>
                <w:lang w:eastAsia="en-GB"/>
              </w:rPr>
              <w:t>Referenced in the Policy</w:t>
            </w: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5B49B7">
              <w:rPr>
                <w:rFonts w:ascii="Arial" w:eastAsia="Arial" w:hAnsi="Arial" w:cs="Arial"/>
                <w:color w:val="000000"/>
                <w:szCs w:val="24"/>
                <w:lang w:eastAsia="en-GB"/>
              </w:rPr>
              <w:t>Landlords must publicise the complaints policy and process, the Complaint Handling Code and the Housing Ombudsman Scheme in leaflets, posters, newsletters, online and as part of regular correspondence with residents.</w:t>
            </w:r>
            <w:r w:rsidRPr="00D1226A">
              <w:rPr>
                <w:rFonts w:ascii="Arial" w:eastAsia="Arial" w:hAnsi="Arial" w:cs="Arial"/>
                <w:color w:val="000000"/>
                <w:szCs w:val="24"/>
                <w:lang w:eastAsia="en-GB"/>
              </w:rPr>
              <w:t xml:space="preserve"> </w:t>
            </w:r>
          </w:p>
        </w:tc>
        <w:tc>
          <w:tcPr>
            <w:tcW w:w="1276" w:type="dxa"/>
            <w:hideMark/>
          </w:tcPr>
          <w:p w14:paraId="4AF5C450" w14:textId="54B9E87A"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5B49B7">
              <w:rPr>
                <w:rFonts w:ascii="Arial" w:hAnsi="Arial" w:cs="Arial"/>
                <w:color w:val="000000"/>
                <w:lang w:eastAsia="en-GB"/>
              </w:rPr>
              <w:t>Yes</w:t>
            </w:r>
          </w:p>
        </w:tc>
        <w:tc>
          <w:tcPr>
            <w:tcW w:w="4394" w:type="dxa"/>
          </w:tcPr>
          <w:p w14:paraId="206A0C02" w14:textId="703AEBFB" w:rsidR="001D593D" w:rsidRPr="00D1226A" w:rsidRDefault="005B49B7" w:rsidP="00864FDA">
            <w:pPr>
              <w:spacing w:line="240" w:lineRule="auto"/>
              <w:rPr>
                <w:rFonts w:ascii="Arial" w:hAnsi="Arial" w:cs="Arial"/>
                <w:color w:val="000000"/>
                <w:lang w:eastAsia="en-GB"/>
              </w:rPr>
            </w:pPr>
            <w:r>
              <w:rPr>
                <w:rFonts w:ascii="Arial" w:hAnsi="Arial" w:cs="Arial"/>
                <w:color w:val="000000"/>
                <w:lang w:eastAsia="en-GB"/>
              </w:rPr>
              <w:t>The Complaints procedure is on display on the notice board in both houses.</w:t>
            </w: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2.7</w:t>
            </w:r>
          </w:p>
        </w:tc>
        <w:tc>
          <w:tcPr>
            <w:tcW w:w="5670" w:type="dxa"/>
            <w:hideMark/>
          </w:tcPr>
          <w:p w14:paraId="026D7CCA" w14:textId="77777777" w:rsidR="001D593D" w:rsidRPr="004D0C2E" w:rsidRDefault="001D593D" w:rsidP="00864FDA">
            <w:pPr>
              <w:spacing w:line="240" w:lineRule="auto"/>
              <w:rPr>
                <w:rFonts w:ascii="Arial" w:hAnsi="Arial" w:cs="Arial"/>
                <w:color w:val="000000"/>
                <w:highlight w:val="yellow"/>
                <w:lang w:eastAsia="en-GB"/>
              </w:rPr>
            </w:pPr>
            <w:r w:rsidRPr="0043735B">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D590276" w14:textId="4C2F4D89" w:rsidR="001D593D" w:rsidRPr="00D1226A" w:rsidRDefault="001D593D" w:rsidP="00864FDA">
            <w:pPr>
              <w:spacing w:line="240" w:lineRule="auto"/>
              <w:rPr>
                <w:rFonts w:ascii="Arial" w:hAnsi="Arial" w:cs="Arial"/>
                <w:color w:val="000000"/>
                <w:lang w:eastAsia="en-GB"/>
              </w:rPr>
            </w:pPr>
          </w:p>
        </w:tc>
        <w:tc>
          <w:tcPr>
            <w:tcW w:w="4394" w:type="dxa"/>
          </w:tcPr>
          <w:p w14:paraId="390AEF29" w14:textId="2CBCCFCE" w:rsidR="001D593D" w:rsidRPr="0043735B" w:rsidRDefault="00B55426" w:rsidP="00864FDA">
            <w:pPr>
              <w:spacing w:line="240" w:lineRule="auto"/>
              <w:rPr>
                <w:rFonts w:ascii="Arial" w:hAnsi="Arial" w:cs="Arial"/>
                <w:color w:val="000000"/>
                <w:lang w:eastAsia="en-GB"/>
              </w:rPr>
            </w:pPr>
            <w:r w:rsidRPr="0043735B">
              <w:rPr>
                <w:rFonts w:ascii="Arial" w:hAnsi="Arial" w:cs="Arial"/>
                <w:color w:val="000000"/>
                <w:lang w:eastAsia="en-GB"/>
              </w:rPr>
              <w:t xml:space="preserve">Information on how to access the Housing Ombudsman </w:t>
            </w:r>
            <w:r w:rsidR="0043735B" w:rsidRPr="0043735B">
              <w:rPr>
                <w:rFonts w:ascii="Arial" w:hAnsi="Arial" w:cs="Arial"/>
                <w:color w:val="000000"/>
                <w:lang w:eastAsia="en-GB"/>
              </w:rPr>
              <w:t xml:space="preserve">is </w:t>
            </w:r>
            <w:r w:rsidRPr="0043735B">
              <w:rPr>
                <w:rFonts w:ascii="Arial" w:hAnsi="Arial" w:cs="Arial"/>
                <w:color w:val="000000"/>
                <w:lang w:eastAsia="en-GB"/>
              </w:rPr>
              <w:t>included in all complaints letters</w:t>
            </w:r>
            <w:r w:rsidR="00283C6E">
              <w:rPr>
                <w:rFonts w:ascii="Arial" w:hAnsi="Arial" w:cs="Arial"/>
                <w:color w:val="000000"/>
                <w:lang w:eastAsia="en-GB"/>
              </w:rPr>
              <w:t>.</w:t>
            </w: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2.8</w:t>
            </w:r>
          </w:p>
        </w:tc>
        <w:tc>
          <w:tcPr>
            <w:tcW w:w="5670" w:type="dxa"/>
            <w:hideMark/>
          </w:tcPr>
          <w:p w14:paraId="1ACBDAEF" w14:textId="77777777" w:rsidR="001D593D" w:rsidRPr="004D0C2E" w:rsidRDefault="001D593D" w:rsidP="00864FDA">
            <w:pPr>
              <w:spacing w:line="240" w:lineRule="auto"/>
              <w:rPr>
                <w:rFonts w:ascii="Arial" w:hAnsi="Arial" w:cs="Arial"/>
                <w:color w:val="000000"/>
                <w:highlight w:val="yellow"/>
                <w:lang w:eastAsia="en-GB"/>
              </w:rPr>
            </w:pPr>
            <w:r w:rsidRPr="00283C6E">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77777777"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p>
        </w:tc>
        <w:tc>
          <w:tcPr>
            <w:tcW w:w="4394" w:type="dxa"/>
          </w:tcPr>
          <w:p w14:paraId="6B5E5DEE" w14:textId="420AA084" w:rsidR="001D593D" w:rsidRPr="00283C6E" w:rsidRDefault="004D0C2E" w:rsidP="00864FDA">
            <w:pPr>
              <w:spacing w:line="240" w:lineRule="auto"/>
              <w:rPr>
                <w:rFonts w:ascii="Arial" w:hAnsi="Arial" w:cs="Arial"/>
                <w:color w:val="000000"/>
                <w:lang w:eastAsia="en-GB"/>
              </w:rPr>
            </w:pPr>
            <w:r w:rsidRPr="00283C6E">
              <w:rPr>
                <w:rFonts w:ascii="Arial" w:hAnsi="Arial" w:cs="Arial"/>
                <w:color w:val="000000"/>
                <w:lang w:eastAsia="en-GB"/>
              </w:rPr>
              <w:t xml:space="preserve">Information on how to access the Housing Ombudsman </w:t>
            </w:r>
            <w:r w:rsidR="00283C6E">
              <w:rPr>
                <w:rFonts w:ascii="Arial" w:hAnsi="Arial" w:cs="Arial"/>
                <w:color w:val="000000"/>
                <w:lang w:eastAsia="en-GB"/>
              </w:rPr>
              <w:t xml:space="preserve">is </w:t>
            </w:r>
            <w:r w:rsidR="00B55426" w:rsidRPr="00283C6E">
              <w:rPr>
                <w:rFonts w:ascii="Arial" w:hAnsi="Arial" w:cs="Arial"/>
                <w:color w:val="000000"/>
                <w:lang w:eastAsia="en-GB"/>
              </w:rPr>
              <w:t>included in all complaints letters</w:t>
            </w:r>
            <w:r w:rsidR="00283C6E">
              <w:rPr>
                <w:rFonts w:ascii="Arial" w:hAnsi="Arial" w:cs="Arial"/>
                <w:color w:val="000000"/>
                <w:lang w:eastAsia="en-GB"/>
              </w:rPr>
              <w:t>.</w:t>
            </w:r>
          </w:p>
        </w:tc>
      </w:tr>
    </w:tbl>
    <w:p w14:paraId="7CCC513D" w14:textId="77777777" w:rsidR="00781FDA" w:rsidRDefault="00781FDA"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3F75A2">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p>
        </w:tc>
        <w:tc>
          <w:tcPr>
            <w:tcW w:w="4394" w:type="dxa"/>
            <w:shd w:val="clear" w:color="auto" w:fill="F2F2F2" w:themeFill="background1" w:themeFillShade="F2"/>
          </w:tcPr>
          <w:p w14:paraId="719F9D59" w14:textId="6B5F9A97" w:rsidR="001D593D" w:rsidRPr="003F75A2" w:rsidRDefault="003F75A2" w:rsidP="00BA01D7">
            <w:pPr>
              <w:spacing w:line="240" w:lineRule="auto"/>
              <w:rPr>
                <w:rFonts w:ascii="Arial" w:hAnsi="Arial" w:cs="Arial"/>
                <w:color w:val="000000"/>
                <w:lang w:eastAsia="en-GB"/>
              </w:rPr>
            </w:pPr>
            <w:r w:rsidRPr="003F75A2">
              <w:rPr>
                <w:rFonts w:ascii="Arial" w:hAnsi="Arial" w:cs="Arial"/>
                <w:color w:val="000000"/>
                <w:lang w:eastAsia="en-GB"/>
              </w:rPr>
              <w:t xml:space="preserve">We do not have any </w:t>
            </w:r>
            <w:r w:rsidR="00D74351" w:rsidRPr="003F75A2">
              <w:rPr>
                <w:rFonts w:ascii="Arial" w:hAnsi="Arial" w:cs="Arial"/>
                <w:color w:val="000000"/>
                <w:lang w:eastAsia="en-GB"/>
              </w:rPr>
              <w:t>social media channels</w:t>
            </w:r>
            <w:r w:rsidRPr="003F75A2">
              <w:rPr>
                <w:rFonts w:ascii="Arial" w:hAnsi="Arial" w:cs="Arial"/>
                <w:color w:val="000000"/>
                <w:lang w:eastAsia="en-GB"/>
              </w:rPr>
              <w:t>.</w:t>
            </w:r>
          </w:p>
        </w:tc>
      </w:tr>
    </w:tbl>
    <w:p w14:paraId="064E6A48" w14:textId="59D8CB38" w:rsidR="00246D46" w:rsidRDefault="00246D46" w:rsidP="00B12656">
      <w:pPr>
        <w:pStyle w:val="Heading1"/>
      </w:pPr>
      <w:r w:rsidRPr="00D1226A">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11779F">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2F151082" w:rsidR="00A040D0" w:rsidRPr="00D1226A" w:rsidRDefault="00A040D0" w:rsidP="00A040D0">
            <w:pPr>
              <w:rPr>
                <w:rFonts w:ascii="Arial" w:hAnsi="Arial" w:cs="Arial"/>
              </w:rPr>
            </w:pPr>
            <w:r w:rsidRPr="00D1226A">
              <w:rPr>
                <w:rFonts w:ascii="Arial" w:hAnsi="Arial" w:cs="Arial"/>
              </w:rPr>
              <w:t> </w:t>
            </w:r>
            <w:r w:rsidR="00E90860">
              <w:rPr>
                <w:rFonts w:ascii="Arial" w:hAnsi="Arial" w:cs="Arial"/>
              </w:rPr>
              <w:t>Yes</w:t>
            </w:r>
          </w:p>
        </w:tc>
        <w:tc>
          <w:tcPr>
            <w:tcW w:w="4394" w:type="dxa"/>
            <w:hideMark/>
          </w:tcPr>
          <w:p w14:paraId="19EBEA1D" w14:textId="672F3575" w:rsidR="00A040D0" w:rsidRPr="00D1226A" w:rsidRDefault="00E90860" w:rsidP="00A040D0">
            <w:pPr>
              <w:rPr>
                <w:rFonts w:ascii="Arial" w:hAnsi="Arial" w:cs="Arial"/>
              </w:rPr>
            </w:pPr>
            <w:r>
              <w:rPr>
                <w:rFonts w:ascii="Arial" w:hAnsi="Arial" w:cs="Arial"/>
              </w:rPr>
              <w:t xml:space="preserve">The </w:t>
            </w:r>
            <w:r w:rsidRPr="003A5602">
              <w:rPr>
                <w:rFonts w:ascii="Arial" w:hAnsi="Arial" w:cs="Arial"/>
              </w:rPr>
              <w:t>Registered Manager</w:t>
            </w:r>
            <w:r>
              <w:rPr>
                <w:rFonts w:ascii="Arial" w:hAnsi="Arial" w:cs="Arial"/>
              </w:rPr>
              <w:t xml:space="preserve"> is responsible for </w:t>
            </w:r>
            <w:r w:rsidR="001F6FFA">
              <w:rPr>
                <w:rFonts w:ascii="Arial" w:hAnsi="Arial" w:cs="Arial"/>
              </w:rPr>
              <w:t>complaint</w:t>
            </w:r>
            <w:r>
              <w:rPr>
                <w:rFonts w:ascii="Arial" w:hAnsi="Arial" w:cs="Arial"/>
              </w:rPr>
              <w:t xml:space="preserve"> handling and ensuring </w:t>
            </w:r>
            <w:r w:rsidR="001F6FFA">
              <w:rPr>
                <w:rFonts w:ascii="Arial" w:hAnsi="Arial" w:cs="Arial"/>
              </w:rPr>
              <w:t>the complaints are responded to and reported to the Board.</w:t>
            </w:r>
            <w:r w:rsidR="00A040D0" w:rsidRPr="00D1226A">
              <w:rPr>
                <w:rFonts w:ascii="Arial" w:hAnsi="Arial" w:cs="Arial"/>
              </w:rPr>
              <w:t> </w:t>
            </w: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2050D9BC" w14:textId="6DB28E78" w:rsidR="00A040D0" w:rsidRPr="00D1226A" w:rsidRDefault="00A040D0" w:rsidP="00A040D0">
            <w:pPr>
              <w:rPr>
                <w:rFonts w:ascii="Arial" w:hAnsi="Arial" w:cs="Arial"/>
              </w:rPr>
            </w:pPr>
            <w:r w:rsidRPr="00D1226A">
              <w:rPr>
                <w:rFonts w:ascii="Arial" w:hAnsi="Arial" w:cs="Arial"/>
              </w:rPr>
              <w:t> </w:t>
            </w:r>
            <w:r w:rsidR="00872590">
              <w:rPr>
                <w:rFonts w:ascii="Arial" w:hAnsi="Arial" w:cs="Arial"/>
              </w:rPr>
              <w:t>Yes</w:t>
            </w:r>
          </w:p>
        </w:tc>
        <w:tc>
          <w:tcPr>
            <w:tcW w:w="4394" w:type="dxa"/>
            <w:hideMark/>
          </w:tcPr>
          <w:p w14:paraId="58BDCCC0" w14:textId="04EDE5F6" w:rsidR="00A040D0" w:rsidRPr="00D1226A" w:rsidRDefault="00872590" w:rsidP="00A040D0">
            <w:pPr>
              <w:rPr>
                <w:rFonts w:ascii="Arial" w:hAnsi="Arial" w:cs="Arial"/>
              </w:rPr>
            </w:pPr>
            <w:r>
              <w:rPr>
                <w:rFonts w:ascii="Arial" w:hAnsi="Arial" w:cs="Arial"/>
              </w:rPr>
              <w:t>The Complaint Handler has extensive experience in managing complaints</w:t>
            </w:r>
            <w:r w:rsidR="00F25FCE">
              <w:rPr>
                <w:rFonts w:ascii="Arial" w:hAnsi="Arial" w:cs="Arial"/>
              </w:rPr>
              <w:t xml:space="preserve">, and </w:t>
            </w:r>
            <w:r w:rsidR="00F25FCE">
              <w:rPr>
                <w:rFonts w:ascii="Arial" w:hAnsi="Arial" w:cs="Arial"/>
              </w:rPr>
              <w:lastRenderedPageBreak/>
              <w:t>any potential conflicts would be highlighted and reviewed on a case by case basis.</w:t>
            </w:r>
            <w:r w:rsidR="00A040D0" w:rsidRPr="00D1226A">
              <w:rPr>
                <w:rFonts w:ascii="Arial" w:hAnsi="Arial" w:cs="Arial"/>
              </w:rPr>
              <w:t> </w:t>
            </w: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Pr="003A5602" w:rsidRDefault="00646978" w:rsidP="00646978">
            <w:pPr>
              <w:spacing w:line="240" w:lineRule="auto"/>
              <w:rPr>
                <w:rFonts w:ascii="Arial" w:hAnsi="Arial" w:cs="Arial"/>
                <w:color w:val="000000"/>
                <w:lang w:eastAsia="en-GB"/>
              </w:rPr>
            </w:pPr>
            <w:r w:rsidRPr="003A5602">
              <w:rPr>
                <w:rFonts w:ascii="Arial" w:hAnsi="Arial" w:cs="Arial"/>
                <w:color w:val="000000"/>
                <w:lang w:eastAsia="en-GB"/>
              </w:rPr>
              <w:t xml:space="preserve">Complaint handlers should: </w:t>
            </w:r>
          </w:p>
          <w:p w14:paraId="303C725D" w14:textId="77777777" w:rsidR="00646978" w:rsidRPr="003A5602" w:rsidRDefault="00646978" w:rsidP="00646978">
            <w:pPr>
              <w:pStyle w:val="ListParagraph"/>
              <w:numPr>
                <w:ilvl w:val="0"/>
                <w:numId w:val="12"/>
              </w:numPr>
              <w:spacing w:line="240" w:lineRule="auto"/>
              <w:rPr>
                <w:rFonts w:ascii="Arial" w:hAnsi="Arial" w:cs="Arial"/>
                <w:color w:val="000000"/>
                <w:lang w:eastAsia="en-GB"/>
              </w:rPr>
            </w:pPr>
            <w:r w:rsidRPr="003A5602">
              <w:rPr>
                <w:rFonts w:ascii="Arial" w:hAnsi="Arial" w:cs="Arial"/>
                <w:color w:val="000000"/>
                <w:lang w:eastAsia="en-GB"/>
              </w:rPr>
              <w:t>be able to act sensitively and fairly</w:t>
            </w:r>
          </w:p>
          <w:p w14:paraId="19FC399F" w14:textId="77777777" w:rsidR="00646978" w:rsidRPr="003A5602" w:rsidRDefault="00646978" w:rsidP="00646978">
            <w:pPr>
              <w:pStyle w:val="ListParagraph"/>
              <w:numPr>
                <w:ilvl w:val="0"/>
                <w:numId w:val="12"/>
              </w:numPr>
              <w:spacing w:line="240" w:lineRule="auto"/>
              <w:rPr>
                <w:rFonts w:ascii="Arial" w:hAnsi="Arial" w:cs="Arial"/>
                <w:color w:val="000000"/>
                <w:lang w:eastAsia="en-GB"/>
              </w:rPr>
            </w:pPr>
            <w:r w:rsidRPr="003A5602">
              <w:rPr>
                <w:rFonts w:ascii="Arial" w:hAnsi="Arial" w:cs="Arial"/>
                <w:color w:val="000000"/>
                <w:lang w:eastAsia="en-GB"/>
              </w:rPr>
              <w:t xml:space="preserve">be trained to handle complaints and deal with distressed and upset residents </w:t>
            </w:r>
          </w:p>
          <w:p w14:paraId="7C3B4873" w14:textId="77777777" w:rsidR="00646978" w:rsidRPr="003A5602" w:rsidRDefault="00646978" w:rsidP="00646978">
            <w:pPr>
              <w:pStyle w:val="ListParagraph"/>
              <w:numPr>
                <w:ilvl w:val="0"/>
                <w:numId w:val="12"/>
              </w:numPr>
              <w:spacing w:line="240" w:lineRule="auto"/>
              <w:rPr>
                <w:rFonts w:ascii="Arial" w:hAnsi="Arial" w:cs="Arial"/>
                <w:color w:val="000000"/>
                <w:lang w:eastAsia="en-GB"/>
              </w:rPr>
            </w:pPr>
            <w:r w:rsidRPr="003A5602">
              <w:rPr>
                <w:rFonts w:ascii="Arial" w:hAnsi="Arial" w:cs="Arial"/>
                <w:color w:val="000000"/>
                <w:lang w:eastAsia="en-GB"/>
              </w:rPr>
              <w:t xml:space="preserve">have access to staff at all levels to facilitate quick resolution of complaints </w:t>
            </w:r>
          </w:p>
          <w:p w14:paraId="09574CC1" w14:textId="77777777" w:rsidR="00646978" w:rsidRPr="003A5602" w:rsidRDefault="00646978" w:rsidP="00646978">
            <w:pPr>
              <w:pStyle w:val="ListParagraph"/>
              <w:numPr>
                <w:ilvl w:val="0"/>
                <w:numId w:val="12"/>
              </w:numPr>
              <w:spacing w:line="240" w:lineRule="auto"/>
              <w:rPr>
                <w:rFonts w:ascii="Arial" w:hAnsi="Arial" w:cs="Arial"/>
                <w:color w:val="000000"/>
                <w:lang w:eastAsia="en-GB"/>
              </w:rPr>
            </w:pPr>
            <w:r w:rsidRPr="003A5602">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66BC9289" w:rsidR="00646978" w:rsidRPr="00D1226A" w:rsidRDefault="00646978" w:rsidP="00646978">
            <w:pPr>
              <w:rPr>
                <w:rFonts w:ascii="Arial" w:hAnsi="Arial" w:cs="Arial"/>
              </w:rPr>
            </w:pPr>
            <w:r w:rsidRPr="00D1226A">
              <w:rPr>
                <w:rFonts w:ascii="Arial" w:hAnsi="Arial" w:cs="Arial"/>
                <w:color w:val="000000"/>
                <w:lang w:eastAsia="en-GB"/>
              </w:rPr>
              <w:t> </w:t>
            </w:r>
          </w:p>
        </w:tc>
        <w:tc>
          <w:tcPr>
            <w:tcW w:w="4394" w:type="dxa"/>
            <w:shd w:val="clear" w:color="auto" w:fill="F2F2F2" w:themeFill="background1" w:themeFillShade="F2"/>
            <w:hideMark/>
          </w:tcPr>
          <w:p w14:paraId="041607CE" w14:textId="3D048403" w:rsidR="00646978" w:rsidRPr="003A5602" w:rsidRDefault="00883D8C" w:rsidP="00646978">
            <w:pPr>
              <w:rPr>
                <w:rFonts w:ascii="Arial" w:hAnsi="Arial" w:cs="Arial"/>
              </w:rPr>
            </w:pPr>
            <w:r w:rsidRPr="003A5602">
              <w:rPr>
                <w:rFonts w:ascii="Arial" w:hAnsi="Arial" w:cs="Arial"/>
              </w:rPr>
              <w:t>Training</w:t>
            </w:r>
            <w:r w:rsidR="003A5602" w:rsidRPr="003A5602">
              <w:rPr>
                <w:rFonts w:ascii="Arial" w:hAnsi="Arial" w:cs="Arial"/>
              </w:rPr>
              <w:t xml:space="preserve"> for</w:t>
            </w:r>
            <w:r w:rsidR="003A5602">
              <w:rPr>
                <w:rFonts w:ascii="Arial" w:hAnsi="Arial" w:cs="Arial"/>
              </w:rPr>
              <w:t xml:space="preserve"> complaint handlers is being</w:t>
            </w:r>
            <w:r w:rsidR="00B72254">
              <w:rPr>
                <w:rFonts w:ascii="Arial" w:hAnsi="Arial" w:cs="Arial"/>
              </w:rPr>
              <w:t xml:space="preserve"> </w:t>
            </w:r>
            <w:r w:rsidR="003A5602">
              <w:rPr>
                <w:rFonts w:ascii="Arial" w:hAnsi="Arial" w:cs="Arial"/>
              </w:rPr>
              <w:t>sourced.</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w:t>
            </w:r>
            <w:r w:rsidRPr="00D1226A">
              <w:rPr>
                <w:rFonts w:ascii="Arial" w:eastAsia="Arial" w:hAnsi="Arial" w:cs="Arial"/>
                <w:color w:val="000000"/>
                <w:szCs w:val="24"/>
                <w:lang w:eastAsia="en-GB"/>
              </w:rPr>
              <w:lastRenderedPageBreak/>
              <w:t xml:space="preserve">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446B71E3"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635259">
              <w:rPr>
                <w:rFonts w:ascii="Arial" w:hAnsi="Arial" w:cs="Arial"/>
                <w:color w:val="000000"/>
                <w:lang w:eastAsia="en-GB"/>
              </w:rPr>
              <w:t>Yes</w:t>
            </w:r>
          </w:p>
        </w:tc>
        <w:tc>
          <w:tcPr>
            <w:tcW w:w="4394" w:type="dxa"/>
          </w:tcPr>
          <w:p w14:paraId="75D3CE92" w14:textId="3AAB0F77" w:rsidR="00C56397" w:rsidRPr="00070CF0" w:rsidRDefault="00635259" w:rsidP="00C56397">
            <w:pPr>
              <w:rPr>
                <w:rFonts w:ascii="Arial" w:eastAsia="Arial" w:hAnsi="Arial" w:cs="Arial"/>
              </w:rPr>
            </w:pPr>
            <w:r w:rsidRPr="00070CF0">
              <w:rPr>
                <w:rFonts w:ascii="Arial" w:eastAsia="Arial" w:hAnsi="Arial" w:cs="Arial"/>
              </w:rPr>
              <w:t xml:space="preserve">The stages of the process are set out in the Policy, and detailed records are kept of each </w:t>
            </w:r>
            <w:r w:rsidR="00070CF0" w:rsidRPr="00070CF0">
              <w:rPr>
                <w:rFonts w:ascii="Arial" w:eastAsia="Arial" w:hAnsi="Arial" w:cs="Arial"/>
              </w:rPr>
              <w:t>complaint, and are acknowledged within five days.</w:t>
            </w: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47BEE18F"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806969">
              <w:rPr>
                <w:rFonts w:ascii="Arial" w:hAnsi="Arial" w:cs="Arial"/>
                <w:color w:val="000000"/>
                <w:lang w:eastAsia="en-GB"/>
              </w:rPr>
              <w:t>Yes</w:t>
            </w:r>
          </w:p>
        </w:tc>
        <w:tc>
          <w:tcPr>
            <w:tcW w:w="4394" w:type="dxa"/>
          </w:tcPr>
          <w:p w14:paraId="613C0FDB" w14:textId="388D5B2E" w:rsidR="00C56397" w:rsidRPr="00E77756" w:rsidRDefault="00806969" w:rsidP="00C56397">
            <w:pPr>
              <w:rPr>
                <w:rFonts w:ascii="Arial" w:eastAsia="Arial" w:hAnsi="Arial" w:cs="Arial"/>
              </w:rPr>
            </w:pPr>
            <w:r w:rsidRPr="00B72254">
              <w:rPr>
                <w:rFonts w:ascii="Arial" w:eastAsia="Arial" w:hAnsi="Arial" w:cs="Arial"/>
              </w:rPr>
              <w:t xml:space="preserve">This </w:t>
            </w:r>
            <w:r w:rsidR="00E77756" w:rsidRPr="00B72254">
              <w:rPr>
                <w:rFonts w:ascii="Arial" w:eastAsia="Arial" w:hAnsi="Arial" w:cs="Arial"/>
              </w:rPr>
              <w:t>is set out in the complaints acknowledgement letter in Stages 1 and 2.</w:t>
            </w:r>
          </w:p>
        </w:tc>
      </w:tr>
      <w:tr w:rsidR="00C56397" w:rsidRPr="00695C4E" w14:paraId="753A9A8B" w14:textId="77777777" w:rsidTr="00737730">
        <w:trPr>
          <w:trHeight w:val="574"/>
        </w:trPr>
        <w:tc>
          <w:tcPr>
            <w:tcW w:w="2542" w:type="dxa"/>
            <w:shd w:val="clear" w:color="auto" w:fill="auto"/>
            <w:vAlign w:val="center"/>
          </w:tcPr>
          <w:p w14:paraId="0677CFCA" w14:textId="4EE6133C"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7B0DA6B3"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A5440D">
              <w:rPr>
                <w:rFonts w:ascii="Arial" w:hAnsi="Arial" w:cs="Arial"/>
                <w:color w:val="000000"/>
                <w:lang w:eastAsia="en-GB"/>
              </w:rPr>
              <w:t>Yes</w:t>
            </w:r>
          </w:p>
        </w:tc>
        <w:tc>
          <w:tcPr>
            <w:tcW w:w="4394" w:type="dxa"/>
          </w:tcPr>
          <w:p w14:paraId="7472DAA3" w14:textId="4654D91D" w:rsidR="00C56397" w:rsidRPr="00A5440D" w:rsidRDefault="00A5440D" w:rsidP="00C56397">
            <w:pPr>
              <w:rPr>
                <w:rFonts w:ascii="Arial" w:eastAsia="Arial" w:hAnsi="Arial" w:cs="Arial"/>
              </w:rPr>
            </w:pPr>
            <w:r w:rsidRPr="00B72254">
              <w:rPr>
                <w:rFonts w:ascii="Arial" w:eastAsia="Arial" w:hAnsi="Arial" w:cs="Arial"/>
              </w:rPr>
              <w:t>WEFHS is a small organisation and any risk of impartiality would be highlighted and the complaint allocated to another staff or Board member.</w:t>
            </w:r>
            <w:r w:rsidR="00563958">
              <w:rPr>
                <w:rFonts w:ascii="Arial" w:eastAsia="Arial" w:hAnsi="Arial" w:cs="Arial"/>
              </w:rPr>
              <w:t xml:space="preserve">  Where it is deemed necessary the Board will commission an independent </w:t>
            </w:r>
            <w:r w:rsidR="00D31D9C">
              <w:rPr>
                <w:rFonts w:ascii="Arial" w:eastAsia="Arial" w:hAnsi="Arial" w:cs="Arial"/>
              </w:rPr>
              <w:t>investigation, which happened in 2023 in response to a complaint against a senior member of staff.</w:t>
            </w: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mind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take measures to address any actual or perceived conflict of interest</w:t>
            </w:r>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carefully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676541C7"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8A2D09">
              <w:rPr>
                <w:rFonts w:ascii="Arial" w:hAnsi="Arial" w:cs="Arial"/>
                <w:color w:val="000000"/>
                <w:lang w:eastAsia="en-GB"/>
              </w:rPr>
              <w:t>Yes</w:t>
            </w:r>
          </w:p>
        </w:tc>
        <w:tc>
          <w:tcPr>
            <w:tcW w:w="4394" w:type="dxa"/>
          </w:tcPr>
          <w:p w14:paraId="193FE5CF" w14:textId="152BA17E" w:rsidR="00C56397" w:rsidRPr="001A320E" w:rsidRDefault="00CF7635" w:rsidP="00C56397">
            <w:pPr>
              <w:rPr>
                <w:rFonts w:ascii="Arial" w:eastAsia="Arial" w:hAnsi="Arial" w:cs="Arial"/>
              </w:rPr>
            </w:pPr>
            <w:r w:rsidRPr="001A320E">
              <w:rPr>
                <w:rFonts w:ascii="Arial" w:eastAsia="Arial" w:hAnsi="Arial" w:cs="Arial"/>
              </w:rPr>
              <w:t>As set out in the Policy</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43E1CC25"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CF7635">
              <w:rPr>
                <w:rFonts w:ascii="Arial" w:hAnsi="Arial" w:cs="Arial"/>
                <w:color w:val="000000"/>
                <w:lang w:eastAsia="en-GB"/>
              </w:rPr>
              <w:t>Yes</w:t>
            </w:r>
          </w:p>
        </w:tc>
        <w:tc>
          <w:tcPr>
            <w:tcW w:w="4394" w:type="dxa"/>
          </w:tcPr>
          <w:p w14:paraId="6D004DD2" w14:textId="6C904819" w:rsidR="00C56397" w:rsidRPr="001A320E" w:rsidRDefault="00CF7635" w:rsidP="00C56397">
            <w:pPr>
              <w:rPr>
                <w:rFonts w:ascii="Arial" w:eastAsia="Arial" w:hAnsi="Arial" w:cs="Arial"/>
              </w:rPr>
            </w:pPr>
            <w:r w:rsidRPr="001A320E">
              <w:rPr>
                <w:rFonts w:ascii="Arial" w:eastAsia="Arial" w:hAnsi="Arial" w:cs="Arial"/>
              </w:rPr>
              <w:t xml:space="preserve">Each complaint received will involve a discussion on how best to meet the tenant’s needs </w:t>
            </w: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lastRenderedPageBreak/>
              <w:t>set out their position</w:t>
            </w:r>
          </w:p>
          <w:p w14:paraId="15F55F37"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A3AC53C" w14:textId="73909D28"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1A320E">
              <w:rPr>
                <w:rFonts w:ascii="Arial" w:hAnsi="Arial" w:cs="Arial"/>
                <w:color w:val="000000"/>
                <w:lang w:eastAsia="en-GB"/>
              </w:rPr>
              <w:t>Yes</w:t>
            </w:r>
          </w:p>
        </w:tc>
        <w:tc>
          <w:tcPr>
            <w:tcW w:w="4394" w:type="dxa"/>
          </w:tcPr>
          <w:p w14:paraId="4BAD6E8E" w14:textId="6C10F6D0" w:rsidR="00C56397" w:rsidRPr="005F0BB3" w:rsidRDefault="005F0BB3" w:rsidP="00C56397">
            <w:pPr>
              <w:rPr>
                <w:rFonts w:ascii="Arial" w:eastAsia="Arial" w:hAnsi="Arial" w:cs="Arial"/>
              </w:rPr>
            </w:pPr>
            <w:r w:rsidRPr="005F0BB3">
              <w:rPr>
                <w:rFonts w:ascii="Arial" w:eastAsia="Arial" w:hAnsi="Arial" w:cs="Arial"/>
              </w:rPr>
              <w:t>This will be part of the investigation process.</w:t>
            </w: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1D3694C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11DC3">
              <w:rPr>
                <w:rFonts w:ascii="Arial" w:hAnsi="Arial" w:cs="Arial"/>
                <w:color w:val="000000"/>
                <w:lang w:eastAsia="en-GB"/>
              </w:rPr>
              <w:t>Yes</w:t>
            </w:r>
          </w:p>
        </w:tc>
        <w:tc>
          <w:tcPr>
            <w:tcW w:w="4394" w:type="dxa"/>
          </w:tcPr>
          <w:p w14:paraId="1CF1C611" w14:textId="7478A0E0" w:rsidR="00C56397" w:rsidRPr="00695C4E" w:rsidRDefault="00E11DC3" w:rsidP="00C56397">
            <w:pPr>
              <w:rPr>
                <w:rFonts w:ascii="Arial" w:eastAsia="Arial" w:hAnsi="Arial" w:cs="Arial"/>
                <w:b/>
                <w:bCs/>
              </w:rPr>
            </w:pPr>
            <w:r w:rsidRPr="001A320E">
              <w:rPr>
                <w:rFonts w:ascii="Arial" w:eastAsia="Arial" w:hAnsi="Arial" w:cs="Arial"/>
              </w:rPr>
              <w:t>As set out in the Policy</w:t>
            </w:r>
          </w:p>
        </w:tc>
      </w:tr>
      <w:tr w:rsidR="00C56397" w:rsidRPr="00695C4E" w14:paraId="319E7260" w14:textId="77777777" w:rsidTr="00737730">
        <w:trPr>
          <w:trHeight w:val="574"/>
        </w:trPr>
        <w:tc>
          <w:tcPr>
            <w:tcW w:w="2542" w:type="dxa"/>
            <w:shd w:val="clear" w:color="auto" w:fill="auto"/>
            <w:vAlign w:val="center"/>
          </w:tcPr>
          <w:p w14:paraId="4223803D" w14:textId="4CB20E11"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2C322B50"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11DC3">
              <w:rPr>
                <w:rFonts w:ascii="Arial" w:hAnsi="Arial" w:cs="Arial"/>
                <w:color w:val="000000"/>
                <w:lang w:eastAsia="en-GB"/>
              </w:rPr>
              <w:t>Yes</w:t>
            </w:r>
          </w:p>
        </w:tc>
        <w:tc>
          <w:tcPr>
            <w:tcW w:w="4394" w:type="dxa"/>
          </w:tcPr>
          <w:p w14:paraId="08F4C7B7" w14:textId="52C096C1" w:rsidR="00C56397" w:rsidRPr="00695C4E" w:rsidRDefault="00E11DC3" w:rsidP="00C56397">
            <w:pPr>
              <w:rPr>
                <w:rFonts w:ascii="Arial" w:eastAsia="Arial" w:hAnsi="Arial" w:cs="Arial"/>
                <w:b/>
                <w:bCs/>
              </w:rPr>
            </w:pPr>
            <w:r w:rsidRPr="001A320E">
              <w:rPr>
                <w:rFonts w:ascii="Arial" w:eastAsia="Arial" w:hAnsi="Arial" w:cs="Arial"/>
              </w:rPr>
              <w:t>As set out in the Policy</w:t>
            </w:r>
          </w:p>
        </w:tc>
      </w:tr>
      <w:tr w:rsidR="00C56397" w:rsidRPr="00695C4E" w14:paraId="152950CA" w14:textId="77777777" w:rsidTr="00737730">
        <w:trPr>
          <w:trHeight w:val="574"/>
        </w:trPr>
        <w:tc>
          <w:tcPr>
            <w:tcW w:w="2542" w:type="dxa"/>
            <w:shd w:val="clear" w:color="auto" w:fill="auto"/>
            <w:vAlign w:val="center"/>
          </w:tcPr>
          <w:p w14:paraId="2FAC2A2F" w14:textId="331B81C7"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36FDDD8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E11DC3">
              <w:rPr>
                <w:rFonts w:ascii="Arial" w:hAnsi="Arial" w:cs="Arial"/>
                <w:color w:val="000000"/>
                <w:lang w:eastAsia="en-GB"/>
              </w:rPr>
              <w:t>Yes</w:t>
            </w:r>
          </w:p>
        </w:tc>
        <w:tc>
          <w:tcPr>
            <w:tcW w:w="4394" w:type="dxa"/>
          </w:tcPr>
          <w:p w14:paraId="136B4456" w14:textId="677DA798" w:rsidR="00C56397" w:rsidRPr="00362D3A" w:rsidRDefault="00362D3A" w:rsidP="00C56397">
            <w:pPr>
              <w:rPr>
                <w:rFonts w:ascii="Arial" w:eastAsia="Arial" w:hAnsi="Arial" w:cs="Arial"/>
              </w:rPr>
            </w:pPr>
            <w:r w:rsidRPr="00362D3A">
              <w:rPr>
                <w:rFonts w:ascii="Arial" w:eastAsia="Arial" w:hAnsi="Arial" w:cs="Arial"/>
              </w:rPr>
              <w:t>All records are held in files</w:t>
            </w:r>
            <w:r>
              <w:rPr>
                <w:rFonts w:ascii="Arial" w:eastAsia="Arial" w:hAnsi="Arial" w:cs="Arial"/>
              </w:rPr>
              <w:t xml:space="preserve"> in the Manager’s office for security</w:t>
            </w:r>
            <w:r w:rsidRPr="00362D3A">
              <w:rPr>
                <w:rFonts w:ascii="Arial" w:eastAsia="Arial" w:hAnsi="Arial" w:cs="Arial"/>
              </w:rPr>
              <w:t>.</w:t>
            </w: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114826C1"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362D3A">
              <w:rPr>
                <w:rFonts w:ascii="Arial" w:hAnsi="Arial" w:cs="Arial"/>
                <w:color w:val="000000"/>
                <w:lang w:eastAsia="en-GB"/>
              </w:rPr>
              <w:t>Yes</w:t>
            </w:r>
          </w:p>
        </w:tc>
        <w:tc>
          <w:tcPr>
            <w:tcW w:w="4394" w:type="dxa"/>
          </w:tcPr>
          <w:p w14:paraId="650352F5" w14:textId="4BCC967C" w:rsidR="00C56397" w:rsidRPr="00362D3A" w:rsidRDefault="00362D3A" w:rsidP="00C56397">
            <w:pPr>
              <w:rPr>
                <w:rFonts w:ascii="Arial" w:eastAsia="Arial" w:hAnsi="Arial" w:cs="Arial"/>
              </w:rPr>
            </w:pPr>
            <w:r w:rsidRPr="00362D3A">
              <w:rPr>
                <w:rFonts w:ascii="Arial" w:eastAsia="Arial" w:hAnsi="Arial" w:cs="Arial"/>
              </w:rPr>
              <w:t>Noted in the Policy.</w:t>
            </w: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5EDAFBF3"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356A7C5F" w14:textId="128D8887" w:rsidR="00EC6277" w:rsidRPr="00D1226A" w:rsidRDefault="00EC6277"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40CD5B46" w14:textId="504D9637" w:rsidR="007E7315" w:rsidRPr="00D1226A" w:rsidRDefault="00EC6277" w:rsidP="00167FC1">
            <w:pPr>
              <w:spacing w:line="240" w:lineRule="auto"/>
              <w:rPr>
                <w:rFonts w:ascii="Arial" w:hAnsi="Arial" w:cs="Arial"/>
                <w:color w:val="000000"/>
                <w:lang w:eastAsia="en-GB"/>
              </w:rPr>
            </w:pPr>
            <w:r>
              <w:rPr>
                <w:rFonts w:ascii="Arial" w:hAnsi="Arial" w:cs="Arial"/>
                <w:color w:val="000000"/>
                <w:lang w:eastAsia="en-GB"/>
              </w:rPr>
              <w:t>The proce</w:t>
            </w:r>
            <w:r w:rsidR="00520184">
              <w:rPr>
                <w:rFonts w:ascii="Arial" w:hAnsi="Arial" w:cs="Arial"/>
                <w:color w:val="000000"/>
                <w:lang w:eastAsia="en-GB"/>
              </w:rPr>
              <w:t>ss</w:t>
            </w:r>
            <w:r>
              <w:rPr>
                <w:rFonts w:ascii="Arial" w:hAnsi="Arial" w:cs="Arial"/>
                <w:color w:val="000000"/>
                <w:lang w:eastAsia="en-GB"/>
              </w:rPr>
              <w:t xml:space="preserve"> requires</w:t>
            </w:r>
            <w:r w:rsidR="00520184">
              <w:rPr>
                <w:rFonts w:ascii="Arial" w:hAnsi="Arial" w:cs="Arial"/>
                <w:color w:val="000000"/>
                <w:lang w:eastAsia="en-GB"/>
              </w:rPr>
              <w:t xml:space="preserve"> a conversation with the tenant to fully understand their expectations.</w:t>
            </w: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737F1B">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7EDE8629"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343CE1EE" w14:textId="1E674B04" w:rsidR="00095098" w:rsidRPr="00D1226A" w:rsidRDefault="00095098"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75B92075" w14:textId="52DB7AEA" w:rsidR="007E7315" w:rsidRPr="00E15BEF" w:rsidRDefault="00E15BEF" w:rsidP="00167FC1">
            <w:pPr>
              <w:spacing w:line="240" w:lineRule="auto"/>
              <w:rPr>
                <w:rFonts w:ascii="Arial" w:hAnsi="Arial" w:cs="Arial"/>
                <w:color w:val="000000"/>
                <w:lang w:eastAsia="en-GB"/>
              </w:rPr>
            </w:pPr>
            <w:r w:rsidRPr="00E15BEF">
              <w:rPr>
                <w:rFonts w:ascii="Arial" w:hAnsi="Arial" w:cs="Arial"/>
                <w:color w:val="000000"/>
                <w:lang w:eastAsia="en-GB"/>
              </w:rPr>
              <w:t>Evidence will be in the complaint responses and in the standing board item of complaints reports received.</w:t>
            </w:r>
          </w:p>
        </w:tc>
      </w:tr>
      <w:tr w:rsidR="007E7315" w:rsidRPr="00D1226A" w14:paraId="7A508575" w14:textId="139FEE45" w:rsidTr="000E19F1">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0CE9EBD6" w14:textId="77777777" w:rsidR="007E7315"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p>
          <w:p w14:paraId="3DD395A6" w14:textId="1183822E" w:rsidR="004B7720" w:rsidRPr="00D1226A" w:rsidRDefault="004B7720"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3B612858" w14:textId="77777777" w:rsidR="004B7720" w:rsidRDefault="004B7720" w:rsidP="004B7720">
            <w:pPr>
              <w:pStyle w:val="Default"/>
            </w:pPr>
            <w:r>
              <w:rPr>
                <w:sz w:val="22"/>
                <w:szCs w:val="22"/>
              </w:rPr>
              <w:t xml:space="preserve">If requested, complainants can be represented or supported by others. </w:t>
            </w:r>
          </w:p>
          <w:p w14:paraId="79847E24" w14:textId="77777777" w:rsidR="007E7315" w:rsidRPr="00D1226A" w:rsidRDefault="007E7315" w:rsidP="00167FC1">
            <w:pPr>
              <w:spacing w:line="240" w:lineRule="auto"/>
              <w:rPr>
                <w:rFonts w:ascii="Arial" w:hAnsi="Arial" w:cs="Arial"/>
                <w:color w:val="000000"/>
                <w:lang w:eastAsia="en-GB"/>
              </w:rPr>
            </w:pPr>
          </w:p>
        </w:tc>
      </w:tr>
      <w:tr w:rsidR="007E7315" w:rsidRPr="00D1226A" w14:paraId="4B40C991" w14:textId="473D0FA5" w:rsidTr="000E19F1">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41B861D9"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4B7720">
              <w:rPr>
                <w:rFonts w:ascii="Arial" w:hAnsi="Arial" w:cs="Arial"/>
                <w:color w:val="000000"/>
                <w:lang w:eastAsia="en-GB"/>
              </w:rPr>
              <w:t>Yes</w:t>
            </w:r>
          </w:p>
        </w:tc>
        <w:tc>
          <w:tcPr>
            <w:tcW w:w="4252" w:type="dxa"/>
            <w:shd w:val="clear" w:color="auto" w:fill="F2F2F2" w:themeFill="background1" w:themeFillShade="F2"/>
          </w:tcPr>
          <w:p w14:paraId="0C8DF507" w14:textId="548C9E46" w:rsidR="007E7315" w:rsidRPr="00D1226A" w:rsidRDefault="00C302E9" w:rsidP="00167FC1">
            <w:pPr>
              <w:spacing w:line="240" w:lineRule="auto"/>
              <w:rPr>
                <w:rFonts w:ascii="Arial" w:hAnsi="Arial" w:cs="Arial"/>
                <w:color w:val="000000"/>
                <w:lang w:eastAsia="en-GB"/>
              </w:rPr>
            </w:pPr>
            <w:r>
              <w:rPr>
                <w:rFonts w:ascii="Arial" w:hAnsi="Arial" w:cs="Arial"/>
                <w:color w:val="000000"/>
                <w:lang w:eastAsia="en-GB"/>
              </w:rPr>
              <w:t>This would be discussed in the initial complaint procedure and/or in the acknowledgement letters and any subsequent correspondence.</w:t>
            </w:r>
          </w:p>
        </w:tc>
      </w:tr>
      <w:tr w:rsidR="007E7315" w:rsidRPr="00D1226A" w14:paraId="1C722CE5" w14:textId="73715D73" w:rsidTr="000E19F1">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2543EA70"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C302E9">
              <w:rPr>
                <w:rFonts w:ascii="Arial" w:hAnsi="Arial" w:cs="Arial"/>
                <w:color w:val="000000"/>
                <w:lang w:eastAsia="en-GB"/>
              </w:rPr>
              <w:t>Yes</w:t>
            </w:r>
          </w:p>
        </w:tc>
        <w:tc>
          <w:tcPr>
            <w:tcW w:w="4252" w:type="dxa"/>
            <w:shd w:val="clear" w:color="auto" w:fill="F2F2F2" w:themeFill="background1" w:themeFillShade="F2"/>
          </w:tcPr>
          <w:p w14:paraId="5F1AED9A" w14:textId="0F890BE7" w:rsidR="007E7315" w:rsidRPr="00D1226A" w:rsidRDefault="00C302E9" w:rsidP="00167FC1">
            <w:pPr>
              <w:spacing w:line="240" w:lineRule="auto"/>
              <w:rPr>
                <w:rFonts w:ascii="Arial" w:hAnsi="Arial" w:cs="Arial"/>
                <w:color w:val="000000"/>
                <w:lang w:eastAsia="en-GB"/>
              </w:rPr>
            </w:pPr>
            <w:r>
              <w:rPr>
                <w:rFonts w:ascii="Arial" w:hAnsi="Arial" w:cs="Arial"/>
                <w:color w:val="000000"/>
                <w:lang w:eastAsia="en-GB"/>
              </w:rPr>
              <w:t>Co</w:t>
            </w:r>
            <w:r w:rsidR="00DB3386">
              <w:rPr>
                <w:rFonts w:ascii="Arial" w:hAnsi="Arial" w:cs="Arial"/>
                <w:color w:val="000000"/>
                <w:lang w:eastAsia="en-GB"/>
              </w:rPr>
              <w:t>nfidentiality is fundamental to the policy.</w:t>
            </w:r>
          </w:p>
        </w:tc>
      </w:tr>
      <w:tr w:rsidR="007E7315" w:rsidRPr="00D1226A" w14:paraId="77B69C6D" w14:textId="15BE1722" w:rsidTr="000E19F1">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61206839"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DB3386">
              <w:rPr>
                <w:rFonts w:ascii="Arial" w:hAnsi="Arial" w:cs="Arial"/>
                <w:color w:val="000000"/>
                <w:lang w:eastAsia="en-GB"/>
              </w:rPr>
              <w:t>Yes</w:t>
            </w:r>
          </w:p>
        </w:tc>
        <w:tc>
          <w:tcPr>
            <w:tcW w:w="4252" w:type="dxa"/>
            <w:shd w:val="clear" w:color="auto" w:fill="F2F2F2" w:themeFill="background1" w:themeFillShade="F2"/>
          </w:tcPr>
          <w:p w14:paraId="388A31B1" w14:textId="409EF5A4" w:rsidR="007E7315" w:rsidRPr="00D1226A" w:rsidRDefault="00B04A51" w:rsidP="00167FC1">
            <w:pPr>
              <w:spacing w:line="240" w:lineRule="auto"/>
              <w:rPr>
                <w:rFonts w:ascii="Arial" w:hAnsi="Arial" w:cs="Arial"/>
                <w:color w:val="000000"/>
                <w:lang w:eastAsia="en-GB"/>
              </w:rPr>
            </w:pPr>
            <w:r>
              <w:rPr>
                <w:rFonts w:ascii="Arial" w:hAnsi="Arial" w:cs="Arial"/>
                <w:color w:val="000000"/>
                <w:lang w:eastAsia="en-GB"/>
              </w:rPr>
              <w:t xml:space="preserve">The close proximity of our tenants to the office helps with </w:t>
            </w:r>
            <w:r w:rsidR="00E827D2">
              <w:rPr>
                <w:rFonts w:ascii="Arial" w:hAnsi="Arial" w:cs="Arial"/>
                <w:color w:val="000000"/>
                <w:lang w:eastAsia="en-GB"/>
              </w:rPr>
              <w:t>regular communication and opportunities for updates and clarification.</w:t>
            </w:r>
          </w:p>
        </w:tc>
      </w:tr>
      <w:tr w:rsidR="007E7315" w:rsidRPr="00D1226A" w14:paraId="6E5621C7" w14:textId="2E2B0B25" w:rsidTr="000E19F1">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A91593" w:rsidRDefault="007E7315" w:rsidP="00167FC1">
            <w:pPr>
              <w:spacing w:line="240" w:lineRule="auto"/>
              <w:rPr>
                <w:rFonts w:ascii="Arial" w:hAnsi="Arial" w:cs="Arial"/>
                <w:color w:val="000000"/>
                <w:lang w:eastAsia="en-GB"/>
              </w:rPr>
            </w:pPr>
            <w:r w:rsidRPr="00A91593">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63D3B250" w:rsidR="007E7315" w:rsidRPr="00A91593" w:rsidRDefault="007E7315" w:rsidP="00167FC1">
            <w:pPr>
              <w:spacing w:line="240" w:lineRule="auto"/>
              <w:rPr>
                <w:rFonts w:ascii="Arial" w:hAnsi="Arial" w:cs="Arial"/>
                <w:color w:val="000000"/>
                <w:lang w:eastAsia="en-GB"/>
              </w:rPr>
            </w:pPr>
            <w:r w:rsidRPr="00A91593">
              <w:rPr>
                <w:rFonts w:ascii="Arial" w:hAnsi="Arial" w:cs="Arial"/>
                <w:color w:val="000000"/>
                <w:lang w:eastAsia="en-GB"/>
              </w:rPr>
              <w:t> </w:t>
            </w:r>
            <w:r w:rsidR="00E827D2" w:rsidRPr="00A91593">
              <w:rPr>
                <w:rFonts w:ascii="Arial" w:hAnsi="Arial" w:cs="Arial"/>
                <w:color w:val="000000"/>
                <w:lang w:eastAsia="en-GB"/>
              </w:rPr>
              <w:t>Yes</w:t>
            </w:r>
          </w:p>
        </w:tc>
        <w:tc>
          <w:tcPr>
            <w:tcW w:w="4252" w:type="dxa"/>
            <w:shd w:val="clear" w:color="auto" w:fill="F2F2F2" w:themeFill="background1" w:themeFillShade="F2"/>
          </w:tcPr>
          <w:p w14:paraId="44574A48" w14:textId="7F50D61F" w:rsidR="007E7315" w:rsidRPr="00A91593" w:rsidRDefault="00E827D2" w:rsidP="00167FC1">
            <w:pPr>
              <w:spacing w:line="240" w:lineRule="auto"/>
              <w:rPr>
                <w:rFonts w:ascii="Arial" w:hAnsi="Arial" w:cs="Arial"/>
                <w:color w:val="000000"/>
                <w:lang w:eastAsia="en-GB"/>
              </w:rPr>
            </w:pPr>
            <w:r w:rsidRPr="00A91593">
              <w:rPr>
                <w:rFonts w:ascii="Arial" w:hAnsi="Arial" w:cs="Arial"/>
                <w:color w:val="000000"/>
                <w:lang w:eastAsia="en-GB"/>
              </w:rPr>
              <w:t xml:space="preserve">A satisfaction questionnaire </w:t>
            </w:r>
            <w:r w:rsidR="0001791E" w:rsidRPr="00A91593">
              <w:rPr>
                <w:rFonts w:ascii="Arial" w:hAnsi="Arial" w:cs="Arial"/>
                <w:color w:val="000000"/>
                <w:lang w:eastAsia="en-GB"/>
              </w:rPr>
              <w:t>will be</w:t>
            </w:r>
            <w:r w:rsidRPr="00A91593">
              <w:rPr>
                <w:rFonts w:ascii="Arial" w:hAnsi="Arial" w:cs="Arial"/>
                <w:color w:val="000000"/>
                <w:lang w:eastAsia="en-GB"/>
              </w:rPr>
              <w:t xml:space="preserve"> sent out at the clos</w:t>
            </w:r>
            <w:r w:rsidR="0001791E" w:rsidRPr="00A91593">
              <w:rPr>
                <w:rFonts w:ascii="Arial" w:hAnsi="Arial" w:cs="Arial"/>
                <w:color w:val="000000"/>
                <w:lang w:eastAsia="en-GB"/>
              </w:rPr>
              <w:t>ure of all complaints from April 2024 onwards</w:t>
            </w:r>
          </w:p>
        </w:tc>
      </w:tr>
      <w:tr w:rsidR="007E7315" w:rsidRPr="00D1226A" w14:paraId="3414065C" w14:textId="0121BAA7" w:rsidTr="000E19F1">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A91593" w:rsidRDefault="007E7315" w:rsidP="00167FC1">
            <w:pPr>
              <w:spacing w:line="240" w:lineRule="auto"/>
              <w:rPr>
                <w:rFonts w:ascii="Arial" w:hAnsi="Arial" w:cs="Arial"/>
                <w:color w:val="000000"/>
                <w:lang w:eastAsia="en-GB"/>
              </w:rPr>
            </w:pPr>
            <w:r w:rsidRPr="00A91593">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3D72BFA4" w:rsidR="007E7315" w:rsidRPr="00A91593" w:rsidRDefault="007E7315" w:rsidP="00167FC1">
            <w:pPr>
              <w:spacing w:line="240" w:lineRule="auto"/>
              <w:rPr>
                <w:rFonts w:ascii="Arial" w:hAnsi="Arial" w:cs="Arial"/>
                <w:color w:val="000000"/>
                <w:lang w:eastAsia="en-GB"/>
              </w:rPr>
            </w:pPr>
            <w:r w:rsidRPr="00A91593">
              <w:rPr>
                <w:rFonts w:ascii="Arial" w:hAnsi="Arial" w:cs="Arial"/>
                <w:color w:val="000000"/>
                <w:lang w:eastAsia="en-GB"/>
              </w:rPr>
              <w:t> </w:t>
            </w:r>
            <w:r w:rsidR="0001791E" w:rsidRPr="00A91593">
              <w:rPr>
                <w:rFonts w:ascii="Arial" w:hAnsi="Arial" w:cs="Arial"/>
                <w:color w:val="000000"/>
                <w:lang w:eastAsia="en-GB"/>
              </w:rPr>
              <w:t>Yes</w:t>
            </w:r>
          </w:p>
        </w:tc>
        <w:tc>
          <w:tcPr>
            <w:tcW w:w="4252" w:type="dxa"/>
            <w:shd w:val="clear" w:color="auto" w:fill="F2F2F2" w:themeFill="background1" w:themeFillShade="F2"/>
          </w:tcPr>
          <w:p w14:paraId="06023871" w14:textId="12847795" w:rsidR="007E7315" w:rsidRPr="00A91593" w:rsidRDefault="0001791E" w:rsidP="00167FC1">
            <w:pPr>
              <w:spacing w:line="240" w:lineRule="auto"/>
              <w:rPr>
                <w:rFonts w:ascii="Arial" w:hAnsi="Arial" w:cs="Arial"/>
                <w:color w:val="000000"/>
                <w:lang w:eastAsia="en-GB"/>
              </w:rPr>
            </w:pPr>
            <w:r w:rsidRPr="00A91593">
              <w:rPr>
                <w:rFonts w:ascii="Arial" w:hAnsi="Arial" w:cs="Arial"/>
                <w:color w:val="000000"/>
                <w:lang w:eastAsia="en-GB"/>
              </w:rPr>
              <w:t xml:space="preserve">All lessons learned are reported to the Board </w:t>
            </w:r>
            <w:r w:rsidR="00FF1AE5" w:rsidRPr="00A91593">
              <w:rPr>
                <w:rFonts w:ascii="Arial" w:hAnsi="Arial" w:cs="Arial"/>
                <w:color w:val="000000"/>
                <w:lang w:eastAsia="en-GB"/>
              </w:rPr>
              <w:t>to feed into service improvement plans.</w:t>
            </w:r>
          </w:p>
        </w:tc>
      </w:tr>
      <w:tr w:rsidR="007E7315" w:rsidRPr="00D1226A" w14:paraId="682D77D7" w14:textId="5C874923" w:rsidTr="000E19F1">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A91593" w:rsidRDefault="007E7315" w:rsidP="00167FC1">
            <w:pPr>
              <w:spacing w:line="240" w:lineRule="auto"/>
              <w:rPr>
                <w:rFonts w:ascii="Arial" w:hAnsi="Arial" w:cs="Arial"/>
                <w:color w:val="000000"/>
                <w:lang w:eastAsia="en-GB"/>
              </w:rPr>
            </w:pPr>
            <w:r w:rsidRPr="00A91593">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7D6EE00B" w:rsidR="007E7315" w:rsidRPr="00A91593" w:rsidRDefault="007E7315" w:rsidP="00167FC1">
            <w:pPr>
              <w:spacing w:line="240" w:lineRule="auto"/>
              <w:rPr>
                <w:rFonts w:ascii="Arial" w:hAnsi="Arial" w:cs="Arial"/>
                <w:color w:val="000000"/>
                <w:lang w:eastAsia="en-GB"/>
              </w:rPr>
            </w:pPr>
            <w:r w:rsidRPr="00A91593">
              <w:rPr>
                <w:rFonts w:ascii="Arial" w:hAnsi="Arial" w:cs="Arial"/>
                <w:color w:val="000000"/>
                <w:lang w:eastAsia="en-GB"/>
              </w:rPr>
              <w:t> </w:t>
            </w:r>
            <w:r w:rsidR="00FF1AE5" w:rsidRPr="00A91593">
              <w:rPr>
                <w:rFonts w:ascii="Arial" w:hAnsi="Arial" w:cs="Arial"/>
                <w:color w:val="000000"/>
                <w:lang w:eastAsia="en-GB"/>
              </w:rPr>
              <w:t>Yes</w:t>
            </w:r>
          </w:p>
        </w:tc>
        <w:tc>
          <w:tcPr>
            <w:tcW w:w="4252" w:type="dxa"/>
            <w:shd w:val="clear" w:color="auto" w:fill="F2F2F2" w:themeFill="background1" w:themeFillShade="F2"/>
          </w:tcPr>
          <w:p w14:paraId="4D0DA798" w14:textId="10E354DD" w:rsidR="007E7315" w:rsidRPr="00A91593" w:rsidRDefault="00810D70" w:rsidP="00167FC1">
            <w:pPr>
              <w:spacing w:line="240" w:lineRule="auto"/>
              <w:rPr>
                <w:rFonts w:ascii="Arial" w:hAnsi="Arial" w:cs="Arial"/>
                <w:color w:val="000000"/>
                <w:lang w:eastAsia="en-GB"/>
              </w:rPr>
            </w:pPr>
            <w:r w:rsidRPr="00A91593">
              <w:rPr>
                <w:rFonts w:ascii="Arial" w:hAnsi="Arial" w:cs="Arial"/>
                <w:color w:val="000000"/>
                <w:lang w:eastAsia="en-GB"/>
              </w:rPr>
              <w:t>All decisions to restrict contact will be discussed with</w:t>
            </w:r>
            <w:r w:rsidR="000552AA" w:rsidRPr="00A91593">
              <w:rPr>
                <w:rFonts w:ascii="Arial" w:hAnsi="Arial" w:cs="Arial"/>
                <w:color w:val="000000"/>
                <w:lang w:eastAsia="en-GB"/>
              </w:rPr>
              <w:t xml:space="preserve"> staff and Board to fully understand the needs of the individual and will have regard to the provisions within the Equality Act.</w:t>
            </w:r>
          </w:p>
        </w:tc>
      </w:tr>
    </w:tbl>
    <w:p w14:paraId="05E47EF9" w14:textId="438BDBBA" w:rsidR="00027B7B" w:rsidRDefault="00027B7B" w:rsidP="00B12656">
      <w:pPr>
        <w:pStyle w:val="Heading1"/>
        <w:rPr>
          <w:rFonts w:eastAsia="Arial"/>
          <w:lang w:eastAsia="en-GB"/>
        </w:rPr>
      </w:pPr>
      <w:r w:rsidRPr="00D1226A">
        <w:rPr>
          <w:rFonts w:eastAsia="Arial"/>
          <w:lang w:eastAsia="en-GB"/>
        </w:rPr>
        <w:lastRenderedPageBreak/>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47AE2C23" w:rsidR="00FF157C" w:rsidRPr="00D1226A" w:rsidRDefault="00B205BD"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5B5D10F5" w14:textId="7A2E94ED" w:rsidR="00B205BD" w:rsidRDefault="00B205BD" w:rsidP="00B205BD">
            <w:pPr>
              <w:pStyle w:val="Default"/>
            </w:pPr>
            <w:r>
              <w:rPr>
                <w:sz w:val="22"/>
                <w:szCs w:val="22"/>
              </w:rPr>
              <w:t>Our policy clearly state</w:t>
            </w:r>
            <w:r w:rsidR="00595C57">
              <w:rPr>
                <w:sz w:val="22"/>
                <w:szCs w:val="22"/>
              </w:rPr>
              <w:t>s</w:t>
            </w:r>
            <w:r>
              <w:rPr>
                <w:sz w:val="22"/>
                <w:szCs w:val="22"/>
              </w:rPr>
              <w:t xml:space="preserve"> the requirement to respond within 10 working days. Should an extension be required this will be done under exceptional circumstances only and with the agreement of the tenant. </w:t>
            </w:r>
          </w:p>
          <w:p w14:paraId="0BDA8B13" w14:textId="77777777" w:rsidR="00FF157C" w:rsidRPr="00D1226A" w:rsidRDefault="00FF157C" w:rsidP="00FF157C">
            <w:pPr>
              <w:spacing w:line="240" w:lineRule="auto"/>
              <w:rPr>
                <w:rFonts w:ascii="Arial" w:eastAsia="Arial" w:hAnsi="Arial" w:cs="Arial"/>
                <w:color w:val="000000"/>
                <w:szCs w:val="24"/>
                <w:lang w:eastAsia="en-GB"/>
              </w:rPr>
            </w:pP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7B3F85A6" w:rsidR="00FF157C" w:rsidRPr="00D1226A" w:rsidRDefault="0032698B"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D634259" w14:textId="77777777" w:rsidR="0032698B" w:rsidRDefault="0032698B" w:rsidP="0032698B">
            <w:pPr>
              <w:pStyle w:val="Default"/>
            </w:pPr>
            <w:r>
              <w:rPr>
                <w:sz w:val="22"/>
                <w:szCs w:val="22"/>
              </w:rPr>
              <w:t xml:space="preserve">Complaint responses are sent to residents within the complaint investigation period. </w:t>
            </w:r>
          </w:p>
          <w:p w14:paraId="35A2830A" w14:textId="77777777" w:rsidR="00FF157C" w:rsidRPr="00D1226A" w:rsidRDefault="00FF157C" w:rsidP="00FF157C">
            <w:pPr>
              <w:spacing w:line="240" w:lineRule="auto"/>
              <w:rPr>
                <w:rFonts w:ascii="Arial" w:eastAsia="Arial" w:hAnsi="Arial" w:cs="Arial"/>
                <w:color w:val="000000"/>
                <w:szCs w:val="24"/>
                <w:lang w:eastAsia="en-GB"/>
              </w:rPr>
            </w:pP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address all points raised in the complaint and provide clear reasons for any decisions, referencing the relevant policy, law and good practice where appropriate.</w:t>
            </w:r>
          </w:p>
        </w:tc>
        <w:tc>
          <w:tcPr>
            <w:tcW w:w="1276" w:type="dxa"/>
          </w:tcPr>
          <w:p w14:paraId="4833FB1E" w14:textId="44294C16" w:rsidR="00FF157C" w:rsidRPr="00D1226A" w:rsidRDefault="00C34CE1"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243ABFAE" w14:textId="7C5805A8" w:rsidR="00FF157C" w:rsidRPr="00D1226A" w:rsidRDefault="00B90DD9"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This is set out in the </w:t>
            </w:r>
            <w:r w:rsidR="003550A7">
              <w:rPr>
                <w:rFonts w:ascii="Arial" w:eastAsia="Arial" w:hAnsi="Arial" w:cs="Arial"/>
                <w:color w:val="000000"/>
                <w:szCs w:val="24"/>
                <w:lang w:eastAsia="en-GB"/>
              </w:rPr>
              <w:t>Policy</w:t>
            </w:r>
          </w:p>
        </w:tc>
      </w:tr>
      <w:tr w:rsidR="00FF157C" w:rsidRPr="00D1226A" w14:paraId="49AF32B3" w14:textId="744DF929" w:rsidTr="000E19F1">
        <w:trPr>
          <w:trHeight w:val="576"/>
        </w:trPr>
        <w:tc>
          <w:tcPr>
            <w:tcW w:w="1691" w:type="dxa"/>
            <w:hideMark/>
          </w:tcPr>
          <w:p w14:paraId="2AAC14C9"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FF157C" w:rsidRPr="00D1226A" w:rsidRDefault="00FF157C" w:rsidP="00FF157C">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stage </w:t>
            </w:r>
          </w:p>
          <w:p w14:paraId="15492804" w14:textId="36EB6B9B"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14:paraId="7884E8CB" w14:textId="4527B8B9"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14:paraId="1DE3BB12" w14:textId="25C802B1"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4ECA8563" w14:textId="4557754F" w:rsidR="00FF157C" w:rsidRPr="00D1226A" w:rsidRDefault="00B90DD9" w:rsidP="00FF157C">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6E5C9DEA" w14:textId="639A933B" w:rsidR="00FF157C" w:rsidRPr="00D1226A" w:rsidRDefault="00B90DD9" w:rsidP="00FF157C">
            <w:pPr>
              <w:spacing w:line="240" w:lineRule="auto"/>
              <w:rPr>
                <w:rFonts w:ascii="Arial" w:hAnsi="Arial" w:cs="Arial"/>
                <w:color w:val="000000"/>
                <w:lang w:eastAsia="en-GB"/>
              </w:rPr>
            </w:pPr>
            <w:r>
              <w:rPr>
                <w:rFonts w:ascii="Arial" w:hAnsi="Arial" w:cs="Arial"/>
                <w:color w:val="000000"/>
                <w:lang w:eastAsia="en-GB"/>
              </w:rPr>
              <w:t>This expectation is set out in the Policy.</w:t>
            </w:r>
          </w:p>
        </w:tc>
      </w:tr>
    </w:tbl>
    <w:p w14:paraId="3B049BF5" w14:textId="77777777" w:rsidR="004C5FA3" w:rsidRDefault="004C5FA3" w:rsidP="0070290E">
      <w:pPr>
        <w:pStyle w:val="NoSpacing"/>
        <w:rPr>
          <w:lang w:eastAsia="en-GB"/>
        </w:rPr>
      </w:pPr>
    </w:p>
    <w:p w14:paraId="2BD51393" w14:textId="77777777" w:rsidR="00B90DD9" w:rsidRDefault="00B90DD9" w:rsidP="0070290E">
      <w:pPr>
        <w:pStyle w:val="Heading2"/>
        <w:rPr>
          <w:rFonts w:eastAsia="Arial"/>
          <w:lang w:eastAsia="en-GB"/>
        </w:rPr>
      </w:pPr>
    </w:p>
    <w:p w14:paraId="4A8197E1" w14:textId="3C0F2396"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113492A9"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6B74AE">
              <w:rPr>
                <w:rFonts w:ascii="Arial" w:hAnsi="Arial" w:cs="Arial"/>
                <w:color w:val="000000"/>
                <w:lang w:eastAsia="en-GB"/>
              </w:rPr>
              <w:t>Yes</w:t>
            </w:r>
          </w:p>
        </w:tc>
        <w:tc>
          <w:tcPr>
            <w:tcW w:w="4252" w:type="dxa"/>
            <w:shd w:val="clear" w:color="auto" w:fill="auto"/>
          </w:tcPr>
          <w:p w14:paraId="3787D504" w14:textId="3FF490B3" w:rsidR="002B794C" w:rsidRPr="00D1226A" w:rsidRDefault="006B74AE" w:rsidP="008B4FC7">
            <w:pPr>
              <w:spacing w:line="240" w:lineRule="auto"/>
              <w:rPr>
                <w:rFonts w:ascii="Arial" w:hAnsi="Arial" w:cs="Arial"/>
                <w:color w:val="000000"/>
                <w:lang w:eastAsia="en-GB"/>
              </w:rPr>
            </w:pPr>
            <w:r>
              <w:rPr>
                <w:rFonts w:ascii="Arial" w:eastAsia="Arial" w:hAnsi="Arial" w:cs="Arial"/>
                <w:color w:val="000000"/>
                <w:szCs w:val="24"/>
                <w:lang w:eastAsia="en-GB"/>
              </w:rPr>
              <w:t>This is set out in the Policy</w:t>
            </w: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7D8488CD"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6B74AE">
              <w:rPr>
                <w:rFonts w:ascii="Arial" w:hAnsi="Arial" w:cs="Arial"/>
                <w:color w:val="000000"/>
                <w:lang w:eastAsia="en-GB"/>
              </w:rPr>
              <w:t>Yes</w:t>
            </w:r>
          </w:p>
        </w:tc>
        <w:tc>
          <w:tcPr>
            <w:tcW w:w="4252" w:type="dxa"/>
            <w:shd w:val="clear" w:color="auto" w:fill="auto"/>
          </w:tcPr>
          <w:p w14:paraId="259733DE" w14:textId="41717E7C" w:rsidR="002B794C" w:rsidRPr="00D1226A" w:rsidRDefault="00AE0571" w:rsidP="008B4FC7">
            <w:pPr>
              <w:spacing w:line="240" w:lineRule="auto"/>
              <w:rPr>
                <w:rFonts w:ascii="Arial" w:hAnsi="Arial" w:cs="Arial"/>
                <w:color w:val="000000"/>
                <w:lang w:eastAsia="en-GB"/>
              </w:rPr>
            </w:pPr>
            <w:r>
              <w:rPr>
                <w:rFonts w:ascii="Arial" w:hAnsi="Arial" w:cs="Arial"/>
                <w:color w:val="000000"/>
                <w:lang w:eastAsia="en-GB"/>
              </w:rPr>
              <w:t>This will be set out in the complaint letters</w:t>
            </w:r>
            <w:r w:rsidR="00922631">
              <w:rPr>
                <w:rFonts w:ascii="Arial" w:hAnsi="Arial" w:cs="Arial"/>
                <w:color w:val="000000"/>
                <w:lang w:eastAsia="en-GB"/>
              </w:rPr>
              <w:t xml:space="preserve"> and is included in the Policy.</w:t>
            </w: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645A47F0"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922631">
              <w:rPr>
                <w:rFonts w:ascii="Arial" w:hAnsi="Arial" w:cs="Arial"/>
                <w:color w:val="000000"/>
                <w:lang w:eastAsia="en-GB"/>
              </w:rPr>
              <w:t>Yes</w:t>
            </w:r>
          </w:p>
        </w:tc>
        <w:tc>
          <w:tcPr>
            <w:tcW w:w="4252" w:type="dxa"/>
            <w:shd w:val="clear" w:color="auto" w:fill="auto"/>
          </w:tcPr>
          <w:p w14:paraId="563E9884" w14:textId="1B54AEF2" w:rsidR="002B794C" w:rsidRPr="00D1226A" w:rsidRDefault="008952A0" w:rsidP="008B4FC7">
            <w:pPr>
              <w:spacing w:line="240" w:lineRule="auto"/>
              <w:rPr>
                <w:rFonts w:ascii="Arial" w:hAnsi="Arial" w:cs="Arial"/>
                <w:color w:val="000000"/>
                <w:lang w:eastAsia="en-GB"/>
              </w:rPr>
            </w:pPr>
            <w:r>
              <w:rPr>
                <w:rFonts w:ascii="Arial" w:eastAsia="Arial" w:hAnsi="Arial" w:cs="Arial"/>
                <w:color w:val="000000"/>
                <w:szCs w:val="24"/>
                <w:lang w:eastAsia="en-GB"/>
              </w:rPr>
              <w:t>This is set out in the Policy</w:t>
            </w: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5.12</w:t>
            </w:r>
          </w:p>
        </w:tc>
        <w:tc>
          <w:tcPr>
            <w:tcW w:w="6521" w:type="dxa"/>
            <w:shd w:val="clear" w:color="auto" w:fill="auto"/>
            <w:hideMark/>
          </w:tcPr>
          <w:p w14:paraId="659613FE" w14:textId="77777777" w:rsidR="002B794C" w:rsidRPr="004C262B" w:rsidRDefault="002B794C" w:rsidP="008B4FC7">
            <w:pPr>
              <w:spacing w:line="240" w:lineRule="auto"/>
              <w:rPr>
                <w:rFonts w:ascii="Arial" w:hAnsi="Arial" w:cs="Arial"/>
                <w:color w:val="000000"/>
                <w:lang w:eastAsia="en-GB"/>
              </w:rPr>
            </w:pPr>
            <w:r w:rsidRPr="004C262B">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6BEC728E" w:rsidR="002B794C" w:rsidRPr="004C262B" w:rsidRDefault="002B794C" w:rsidP="008B4FC7">
            <w:pPr>
              <w:spacing w:line="240" w:lineRule="auto"/>
              <w:rPr>
                <w:rFonts w:ascii="Arial" w:hAnsi="Arial" w:cs="Arial"/>
                <w:color w:val="000000"/>
                <w:lang w:eastAsia="en-GB"/>
              </w:rPr>
            </w:pPr>
            <w:r w:rsidRPr="004C262B">
              <w:rPr>
                <w:rFonts w:ascii="Arial" w:hAnsi="Arial" w:cs="Arial"/>
                <w:color w:val="000000"/>
                <w:lang w:eastAsia="en-GB"/>
              </w:rPr>
              <w:t> </w:t>
            </w:r>
            <w:r w:rsidR="008952A0" w:rsidRPr="004C262B">
              <w:rPr>
                <w:rFonts w:ascii="Arial" w:hAnsi="Arial" w:cs="Arial"/>
                <w:color w:val="000000"/>
                <w:lang w:eastAsia="en-GB"/>
              </w:rPr>
              <w:t>Yes</w:t>
            </w:r>
          </w:p>
        </w:tc>
        <w:tc>
          <w:tcPr>
            <w:tcW w:w="4252" w:type="dxa"/>
            <w:shd w:val="clear" w:color="auto" w:fill="auto"/>
          </w:tcPr>
          <w:p w14:paraId="47EE7AB9" w14:textId="66E98BBB" w:rsidR="002B794C" w:rsidRPr="004C262B" w:rsidRDefault="00A91593" w:rsidP="008B4FC7">
            <w:pPr>
              <w:spacing w:line="240" w:lineRule="auto"/>
              <w:rPr>
                <w:rFonts w:ascii="Arial" w:hAnsi="Arial" w:cs="Arial"/>
                <w:color w:val="000000"/>
                <w:lang w:eastAsia="en-GB"/>
              </w:rPr>
            </w:pPr>
            <w:r w:rsidRPr="004C262B">
              <w:rPr>
                <w:rFonts w:ascii="Arial" w:hAnsi="Arial" w:cs="Arial"/>
                <w:color w:val="000000"/>
                <w:lang w:eastAsia="en-GB"/>
              </w:rPr>
              <w:t xml:space="preserve">Stage 2 complaints will be investigated by an allocated board member or an independent person commissioned by the board as </w:t>
            </w:r>
            <w:r w:rsidR="004C262B" w:rsidRPr="004C262B">
              <w:rPr>
                <w:rFonts w:ascii="Arial" w:hAnsi="Arial" w:cs="Arial"/>
                <w:color w:val="000000"/>
                <w:lang w:eastAsia="en-GB"/>
              </w:rPr>
              <w:t>necessary.</w:t>
            </w: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4BAA4B21"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B07DF8">
              <w:rPr>
                <w:rFonts w:ascii="Arial" w:hAnsi="Arial" w:cs="Arial"/>
                <w:color w:val="000000"/>
                <w:lang w:eastAsia="en-GB"/>
              </w:rPr>
              <w:t>Yes</w:t>
            </w:r>
          </w:p>
        </w:tc>
        <w:tc>
          <w:tcPr>
            <w:tcW w:w="4252" w:type="dxa"/>
            <w:shd w:val="clear" w:color="auto" w:fill="auto"/>
          </w:tcPr>
          <w:p w14:paraId="6A492C08" w14:textId="2AB9C59F" w:rsidR="00B07DF8" w:rsidRDefault="00B07DF8" w:rsidP="00B07DF8">
            <w:pPr>
              <w:pStyle w:val="Default"/>
            </w:pPr>
            <w:r>
              <w:rPr>
                <w:sz w:val="22"/>
                <w:szCs w:val="22"/>
              </w:rPr>
              <w:t xml:space="preserve">Our policy clearly states the requirement to respond within 20 working days. Should an extension be required this will be done under exceptional circumstances only and with the agreement of the tenant. </w:t>
            </w:r>
          </w:p>
          <w:p w14:paraId="66D86773" w14:textId="77777777" w:rsidR="002B794C" w:rsidRPr="00D1226A" w:rsidRDefault="002B794C" w:rsidP="008B4FC7">
            <w:pPr>
              <w:spacing w:line="240" w:lineRule="auto"/>
              <w:rPr>
                <w:rFonts w:ascii="Arial" w:hAnsi="Arial" w:cs="Arial"/>
                <w:color w:val="000000"/>
                <w:lang w:eastAsia="en-GB"/>
              </w:rPr>
            </w:pP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lastRenderedPageBreak/>
              <w:t xml:space="preserve">the complaint stage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264550E1"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B07DF8">
              <w:rPr>
                <w:rFonts w:ascii="Arial" w:hAnsi="Arial" w:cs="Arial"/>
                <w:color w:val="000000"/>
                <w:lang w:eastAsia="en-GB"/>
              </w:rPr>
              <w:t>Yes</w:t>
            </w:r>
          </w:p>
        </w:tc>
        <w:tc>
          <w:tcPr>
            <w:tcW w:w="4252" w:type="dxa"/>
            <w:shd w:val="clear" w:color="auto" w:fill="auto"/>
          </w:tcPr>
          <w:p w14:paraId="0F851678" w14:textId="468E97B8" w:rsidR="002B794C" w:rsidRPr="00D1226A" w:rsidRDefault="00B07DF8" w:rsidP="008B4FC7">
            <w:pPr>
              <w:spacing w:line="240" w:lineRule="auto"/>
              <w:rPr>
                <w:rFonts w:ascii="Arial" w:hAnsi="Arial" w:cs="Arial"/>
                <w:color w:val="000000"/>
                <w:lang w:eastAsia="en-GB"/>
              </w:rPr>
            </w:pPr>
            <w:r>
              <w:rPr>
                <w:rFonts w:ascii="Arial" w:hAnsi="Arial" w:cs="Arial"/>
                <w:color w:val="000000"/>
                <w:lang w:eastAsia="en-GB"/>
              </w:rPr>
              <w:t>As set out in the Policy</w:t>
            </w:r>
            <w:r w:rsidR="00226A98">
              <w:rPr>
                <w:rFonts w:ascii="Arial" w:hAnsi="Arial" w:cs="Arial"/>
                <w:color w:val="000000"/>
                <w:lang w:eastAsia="en-GB"/>
              </w:rPr>
              <w:t>.  There is no Stage Three.</w:t>
            </w: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09C2774B"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A36B42">
              <w:rPr>
                <w:rFonts w:ascii="Arial" w:hAnsi="Arial" w:cs="Arial"/>
                <w:color w:val="000000"/>
                <w:lang w:eastAsia="en-GB"/>
              </w:rPr>
              <w:t>Yes</w:t>
            </w:r>
          </w:p>
        </w:tc>
        <w:tc>
          <w:tcPr>
            <w:tcW w:w="4252" w:type="dxa"/>
          </w:tcPr>
          <w:p w14:paraId="2C3246FE" w14:textId="3D907415" w:rsidR="002B794C" w:rsidRPr="00D1226A" w:rsidRDefault="00A36B42" w:rsidP="00F5471B">
            <w:pPr>
              <w:spacing w:line="240" w:lineRule="auto"/>
              <w:rPr>
                <w:rFonts w:ascii="Arial" w:hAnsi="Arial" w:cs="Arial"/>
                <w:color w:val="000000"/>
                <w:lang w:eastAsia="en-GB"/>
              </w:rPr>
            </w:pPr>
            <w:r>
              <w:rPr>
                <w:rFonts w:ascii="Arial" w:hAnsi="Arial" w:cs="Arial"/>
                <w:color w:val="000000"/>
                <w:lang w:eastAsia="en-GB"/>
              </w:rPr>
              <w:t>There is no Stage Three</w:t>
            </w: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stage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reasons for any decisions made</w:t>
            </w:r>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details of any remedy offered to put things right</w:t>
            </w:r>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how to escalate the matter to the Housing Ombudsman Service if the resident remains dissatisfied</w:t>
            </w:r>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77777777"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p>
        </w:tc>
        <w:tc>
          <w:tcPr>
            <w:tcW w:w="4252" w:type="dxa"/>
          </w:tcPr>
          <w:p w14:paraId="331A8F31" w14:textId="56D1F008" w:rsidR="002B794C" w:rsidRPr="00D1226A" w:rsidRDefault="00A36B42" w:rsidP="00F5471B">
            <w:pPr>
              <w:spacing w:line="240" w:lineRule="auto"/>
              <w:rPr>
                <w:rFonts w:ascii="Arial" w:hAnsi="Arial" w:cs="Arial"/>
                <w:color w:val="000000"/>
                <w:lang w:eastAsia="en-GB"/>
              </w:rPr>
            </w:pPr>
            <w:r>
              <w:rPr>
                <w:rFonts w:ascii="Arial" w:hAnsi="Arial" w:cs="Arial"/>
                <w:color w:val="000000"/>
                <w:lang w:eastAsia="en-GB"/>
              </w:rPr>
              <w:t>There is no Stage Three</w:t>
            </w: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lastRenderedPageBreak/>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1" w:name="RANGE!A116"/>
            <w:r w:rsidRPr="00D1226A">
              <w:rPr>
                <w:rFonts w:ascii="Arial" w:hAnsi="Arial" w:cs="Arial"/>
                <w:b/>
                <w:bCs/>
                <w:color w:val="000000"/>
                <w:lang w:eastAsia="en-GB"/>
              </w:rPr>
              <w:t>5.2</w:t>
            </w:r>
            <w:bookmarkEnd w:id="1"/>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5071E0C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A36B42">
              <w:rPr>
                <w:rFonts w:ascii="Arial" w:hAnsi="Arial" w:cs="Arial"/>
                <w:color w:val="000000"/>
                <w:lang w:eastAsia="en-GB"/>
              </w:rPr>
              <w:t>Yes</w:t>
            </w:r>
          </w:p>
        </w:tc>
        <w:tc>
          <w:tcPr>
            <w:tcW w:w="4252" w:type="dxa"/>
            <w:shd w:val="clear" w:color="auto" w:fill="F2F2F2" w:themeFill="background1" w:themeFillShade="F2"/>
          </w:tcPr>
          <w:p w14:paraId="1A5FA675" w14:textId="197D6953" w:rsidR="002B794C" w:rsidRPr="00D1226A" w:rsidRDefault="00A36B42" w:rsidP="00017A8F">
            <w:pPr>
              <w:spacing w:line="240" w:lineRule="auto"/>
              <w:rPr>
                <w:rFonts w:ascii="Arial" w:hAnsi="Arial" w:cs="Arial"/>
                <w:color w:val="000000"/>
                <w:lang w:eastAsia="en-GB"/>
              </w:rPr>
            </w:pPr>
            <w:r>
              <w:rPr>
                <w:rFonts w:ascii="Arial" w:hAnsi="Arial" w:cs="Arial"/>
                <w:color w:val="000000"/>
                <w:lang w:eastAsia="en-GB"/>
              </w:rPr>
              <w:t>The policy states that the extension will be agreed with the tenant.</w:t>
            </w: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5AE4F88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A36B42">
              <w:rPr>
                <w:rFonts w:ascii="Arial" w:hAnsi="Arial" w:cs="Arial"/>
                <w:color w:val="000000"/>
                <w:lang w:eastAsia="en-GB"/>
              </w:rPr>
              <w:t>Yes</w:t>
            </w:r>
          </w:p>
        </w:tc>
        <w:tc>
          <w:tcPr>
            <w:tcW w:w="4252" w:type="dxa"/>
            <w:shd w:val="clear" w:color="auto" w:fill="F2F2F2" w:themeFill="background1" w:themeFillShade="F2"/>
          </w:tcPr>
          <w:p w14:paraId="7DF084C8" w14:textId="716A2560" w:rsidR="002B794C" w:rsidRPr="00D1226A" w:rsidRDefault="00B71AC6" w:rsidP="005D2108">
            <w:pPr>
              <w:pStyle w:val="Default"/>
              <w:rPr>
                <w:lang w:eastAsia="en-GB"/>
              </w:rPr>
            </w:pPr>
            <w:r w:rsidRPr="005D2108">
              <w:rPr>
                <w:sz w:val="22"/>
                <w:szCs w:val="22"/>
              </w:rPr>
              <w:t>The Housing Ombudsman contact details are provided on all complaint correspondence.</w:t>
            </w:r>
            <w:r>
              <w:rPr>
                <w:sz w:val="22"/>
                <w:szCs w:val="22"/>
              </w:rPr>
              <w:t xml:space="preserve">  </w:t>
            </w: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6CA4908F"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B71AC6">
              <w:rPr>
                <w:rFonts w:ascii="Arial" w:hAnsi="Arial" w:cs="Arial"/>
                <w:color w:val="000000"/>
                <w:lang w:eastAsia="en-GB"/>
              </w:rPr>
              <w:t>Yes</w:t>
            </w:r>
          </w:p>
        </w:tc>
        <w:tc>
          <w:tcPr>
            <w:tcW w:w="4252" w:type="dxa"/>
            <w:shd w:val="clear" w:color="auto" w:fill="F2F2F2" w:themeFill="background1" w:themeFillShade="F2"/>
          </w:tcPr>
          <w:p w14:paraId="7FEA28FC" w14:textId="5EA61069" w:rsidR="002B794C" w:rsidRPr="00D1226A" w:rsidRDefault="00190DD5" w:rsidP="00692951">
            <w:pPr>
              <w:spacing w:line="240" w:lineRule="auto"/>
              <w:rPr>
                <w:rFonts w:ascii="Arial" w:hAnsi="Arial" w:cs="Arial"/>
                <w:color w:val="000000"/>
                <w:lang w:eastAsia="en-GB"/>
              </w:rPr>
            </w:pPr>
            <w:r>
              <w:rPr>
                <w:rFonts w:ascii="Arial" w:hAnsi="Arial" w:cs="Arial"/>
                <w:color w:val="000000"/>
                <w:lang w:eastAsia="en-GB"/>
              </w:rPr>
              <w:t>The review of past issues and procedures would form a key part of the investigation.</w:t>
            </w: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residents raise additional complaints during the investigation, these should be incorporated into the stage one response if they are relevant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72102160" w14:textId="753214FD"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9D6A17">
              <w:rPr>
                <w:rFonts w:ascii="Arial" w:hAnsi="Arial" w:cs="Arial"/>
                <w:color w:val="000000"/>
                <w:lang w:eastAsia="en-GB"/>
              </w:rPr>
              <w:t>Yes</w:t>
            </w:r>
          </w:p>
        </w:tc>
        <w:tc>
          <w:tcPr>
            <w:tcW w:w="4252" w:type="dxa"/>
            <w:shd w:val="clear" w:color="auto" w:fill="F2F2F2" w:themeFill="background1" w:themeFillShade="F2"/>
          </w:tcPr>
          <w:p w14:paraId="60F5E36B" w14:textId="6B2252D0" w:rsidR="002B794C" w:rsidRPr="00D1226A" w:rsidRDefault="009D6A17" w:rsidP="00692951">
            <w:pPr>
              <w:spacing w:line="240" w:lineRule="auto"/>
              <w:rPr>
                <w:rFonts w:ascii="Arial" w:hAnsi="Arial" w:cs="Arial"/>
                <w:color w:val="000000"/>
                <w:lang w:eastAsia="en-GB"/>
              </w:rPr>
            </w:pPr>
            <w:r>
              <w:rPr>
                <w:rFonts w:ascii="Arial" w:hAnsi="Arial" w:cs="Arial"/>
                <w:color w:val="000000"/>
                <w:lang w:eastAsia="en-GB"/>
              </w:rPr>
              <w:t xml:space="preserve">This will be kept under review during the </w:t>
            </w:r>
            <w:r w:rsidR="003E0A13">
              <w:rPr>
                <w:rFonts w:ascii="Arial" w:hAnsi="Arial" w:cs="Arial"/>
                <w:color w:val="000000"/>
                <w:lang w:eastAsia="en-GB"/>
              </w:rPr>
              <w:t>complaint</w:t>
            </w:r>
            <w:r>
              <w:rPr>
                <w:rFonts w:ascii="Arial" w:hAnsi="Arial" w:cs="Arial"/>
                <w:color w:val="000000"/>
                <w:lang w:eastAsia="en-GB"/>
              </w:rPr>
              <w:t xml:space="preserve"> process to ensure that the initial complaint is being investigated thoroughly and managed in the best way possible.  </w:t>
            </w:r>
            <w:r w:rsidR="003E0A13">
              <w:rPr>
                <w:rFonts w:ascii="Arial" w:hAnsi="Arial" w:cs="Arial"/>
                <w:color w:val="000000"/>
                <w:lang w:eastAsia="en-GB"/>
              </w:rPr>
              <w:t>The tenant will be kept up to date with how the new complaints are going to be managed.</w:t>
            </w: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4119108E"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176C13">
              <w:rPr>
                <w:rFonts w:ascii="Arial" w:hAnsi="Arial" w:cs="Arial"/>
                <w:color w:val="000000"/>
                <w:lang w:eastAsia="en-GB"/>
              </w:rPr>
              <w:t>Yes</w:t>
            </w:r>
          </w:p>
        </w:tc>
        <w:tc>
          <w:tcPr>
            <w:tcW w:w="4252" w:type="dxa"/>
            <w:shd w:val="clear" w:color="auto" w:fill="F2F2F2" w:themeFill="background1" w:themeFillShade="F2"/>
          </w:tcPr>
          <w:p w14:paraId="77C47F70" w14:textId="1CD6CA85" w:rsidR="00176C13" w:rsidRDefault="00176C13" w:rsidP="00176C13">
            <w:pPr>
              <w:pStyle w:val="Default"/>
            </w:pPr>
            <w:r>
              <w:rPr>
                <w:sz w:val="22"/>
                <w:szCs w:val="22"/>
              </w:rPr>
              <w:t xml:space="preserve">The procedures outline the requirement for extensions to be agreed with the tenant. </w:t>
            </w:r>
          </w:p>
          <w:p w14:paraId="75040A66" w14:textId="77777777" w:rsidR="0058218C" w:rsidRPr="00D1226A" w:rsidRDefault="0058218C" w:rsidP="00AB30D8">
            <w:pPr>
              <w:spacing w:line="240" w:lineRule="auto"/>
              <w:rPr>
                <w:rFonts w:ascii="Arial" w:hAnsi="Arial" w:cs="Arial"/>
                <w:color w:val="000000"/>
                <w:lang w:eastAsia="en-GB"/>
              </w:rPr>
            </w:pP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01AF45BE"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176C13">
              <w:rPr>
                <w:rFonts w:ascii="Arial" w:hAnsi="Arial" w:cs="Arial"/>
                <w:color w:val="000000"/>
                <w:lang w:eastAsia="en-GB"/>
              </w:rPr>
              <w:t>Yes</w:t>
            </w:r>
          </w:p>
        </w:tc>
        <w:tc>
          <w:tcPr>
            <w:tcW w:w="4252" w:type="dxa"/>
            <w:shd w:val="clear" w:color="auto" w:fill="F2F2F2" w:themeFill="background1" w:themeFillShade="F2"/>
          </w:tcPr>
          <w:p w14:paraId="5BB41C38" w14:textId="77777777" w:rsidR="00AE37C0" w:rsidRDefault="00AE37C0" w:rsidP="00AE37C0">
            <w:pPr>
              <w:pStyle w:val="Default"/>
            </w:pPr>
            <w:r>
              <w:rPr>
                <w:sz w:val="22"/>
                <w:szCs w:val="22"/>
              </w:rPr>
              <w:t xml:space="preserve">The Housing Ombudsman contact details are provided on all complaint correspondence. </w:t>
            </w:r>
          </w:p>
          <w:p w14:paraId="77206AE5" w14:textId="77777777" w:rsidR="0058218C" w:rsidRPr="00D1226A" w:rsidRDefault="0058218C" w:rsidP="00AB30D8">
            <w:pPr>
              <w:spacing w:line="240" w:lineRule="auto"/>
              <w:rPr>
                <w:rFonts w:ascii="Arial" w:hAnsi="Arial" w:cs="Arial"/>
                <w:color w:val="000000"/>
                <w:lang w:eastAsia="en-GB"/>
              </w:rPr>
            </w:pP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5D10B00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AE37C0">
              <w:rPr>
                <w:rFonts w:ascii="Arial" w:hAnsi="Arial" w:cs="Arial"/>
                <w:color w:val="000000"/>
                <w:lang w:eastAsia="en-GB"/>
              </w:rPr>
              <w:t>N/A</w:t>
            </w:r>
          </w:p>
        </w:tc>
        <w:tc>
          <w:tcPr>
            <w:tcW w:w="4252" w:type="dxa"/>
            <w:shd w:val="clear" w:color="auto" w:fill="F2F2F2" w:themeFill="background1" w:themeFillShade="F2"/>
          </w:tcPr>
          <w:p w14:paraId="197FFC71" w14:textId="77777777" w:rsidR="0058218C" w:rsidRPr="00D1226A" w:rsidRDefault="0058218C" w:rsidP="00AB30D8">
            <w:pPr>
              <w:spacing w:line="240" w:lineRule="auto"/>
              <w:rPr>
                <w:rFonts w:ascii="Arial" w:hAnsi="Arial" w:cs="Arial"/>
                <w:color w:val="000000"/>
                <w:lang w:eastAsia="en-GB"/>
              </w:rPr>
            </w:pP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4BADA982"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AE37C0">
              <w:rPr>
                <w:rFonts w:ascii="Arial" w:hAnsi="Arial" w:cs="Arial"/>
                <w:color w:val="000000"/>
                <w:lang w:eastAsia="en-GB"/>
              </w:rPr>
              <w:t>N/A</w:t>
            </w:r>
          </w:p>
        </w:tc>
        <w:tc>
          <w:tcPr>
            <w:tcW w:w="4252" w:type="dxa"/>
            <w:shd w:val="clear" w:color="auto" w:fill="F2F2F2" w:themeFill="background1" w:themeFillShade="F2"/>
          </w:tcPr>
          <w:p w14:paraId="48B69416" w14:textId="77777777" w:rsidR="0058218C" w:rsidRPr="00D1226A" w:rsidRDefault="0058218C" w:rsidP="00AB30D8">
            <w:pPr>
              <w:spacing w:line="240" w:lineRule="auto"/>
              <w:rPr>
                <w:rFonts w:ascii="Arial" w:hAnsi="Arial" w:cs="Arial"/>
                <w:color w:val="000000"/>
                <w:lang w:eastAsia="en-GB"/>
              </w:rPr>
            </w:pP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t xml:space="preserve">Section 6 - Putting things right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2B0472E3" w:rsidR="002B794C" w:rsidRPr="00D1226A" w:rsidRDefault="00E25C11"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BCC36B6" w14:textId="77777777" w:rsidR="004C1688" w:rsidRDefault="004C1688" w:rsidP="004C1688">
            <w:pPr>
              <w:pStyle w:val="Default"/>
            </w:pPr>
            <w:r>
              <w:rPr>
                <w:sz w:val="22"/>
                <w:szCs w:val="22"/>
              </w:rPr>
              <w:t xml:space="preserve">Where complaint investigations result in the issues raised being upheld, these are fully acknowledged as part of the complaint resolution letter with clear actions outlined to remedy them. </w:t>
            </w:r>
          </w:p>
          <w:p w14:paraId="13041D40" w14:textId="77777777" w:rsidR="002B794C" w:rsidRPr="00D1226A" w:rsidRDefault="002B794C" w:rsidP="00C4229E">
            <w:pPr>
              <w:spacing w:line="240" w:lineRule="auto"/>
              <w:rPr>
                <w:rFonts w:ascii="Arial" w:eastAsia="Arial" w:hAnsi="Arial" w:cs="Arial"/>
                <w:color w:val="000000"/>
                <w:szCs w:val="24"/>
                <w:lang w:eastAsia="en-GB"/>
              </w:rPr>
            </w:pP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447A495F" w:rsidR="002B794C" w:rsidRPr="00D1226A" w:rsidRDefault="004C1688"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E26E07C" w14:textId="7DCBBE0D" w:rsidR="002B794C" w:rsidRPr="00D1226A" w:rsidRDefault="004C1688" w:rsidP="00CB16D2">
            <w:pPr>
              <w:pStyle w:val="Default"/>
              <w:rPr>
                <w:rFonts w:eastAsia="Arial"/>
                <w:lang w:eastAsia="en-GB"/>
              </w:rPr>
            </w:pPr>
            <w:r>
              <w:rPr>
                <w:sz w:val="22"/>
                <w:szCs w:val="22"/>
              </w:rPr>
              <w:t xml:space="preserve">Any remedy offered is based on the extent of service failure. </w:t>
            </w:r>
          </w:p>
        </w:tc>
      </w:tr>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2AEF8DD0" w:rsidR="002B794C" w:rsidRPr="00D1226A" w:rsidRDefault="009033BB"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164BCBF" w14:textId="11A79672" w:rsidR="002B794C" w:rsidRPr="00D1226A" w:rsidRDefault="009033BB"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 xml:space="preserve">The complaint letter will clearly outline to action to be taken and </w:t>
            </w:r>
            <w:r w:rsidR="00CB16D2">
              <w:rPr>
                <w:rFonts w:ascii="Arial" w:eastAsia="Arial" w:hAnsi="Arial" w:cs="Arial"/>
                <w:color w:val="000000"/>
                <w:szCs w:val="24"/>
                <w:lang w:eastAsia="en-GB"/>
              </w:rPr>
              <w:t>the timelines for resolution.</w:t>
            </w: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137C2960" w:rsidR="002B794C" w:rsidRPr="00D1226A" w:rsidRDefault="00CB16D2"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17AC0629" w14:textId="77777777" w:rsidR="00CB16D2" w:rsidRDefault="00CB16D2" w:rsidP="00CB16D2">
            <w:pPr>
              <w:pStyle w:val="Default"/>
            </w:pPr>
            <w:r>
              <w:rPr>
                <w:sz w:val="22"/>
                <w:szCs w:val="22"/>
              </w:rPr>
              <w:t xml:space="preserve">The compensation amount that may be offered will be considered suitable and proportionate. </w:t>
            </w:r>
          </w:p>
          <w:p w14:paraId="3EB0EDF9" w14:textId="77777777" w:rsidR="002B794C" w:rsidRPr="00D1226A" w:rsidRDefault="002B794C" w:rsidP="00C4229E">
            <w:pPr>
              <w:spacing w:line="240" w:lineRule="auto"/>
              <w:rPr>
                <w:rFonts w:ascii="Arial" w:eastAsia="Arial" w:hAnsi="Arial" w:cs="Arial"/>
                <w:color w:val="000000"/>
                <w:szCs w:val="24"/>
                <w:lang w:eastAsia="en-GB"/>
              </w:rPr>
            </w:pP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62CDB20E"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377DCD">
              <w:rPr>
                <w:rFonts w:ascii="Arial" w:hAnsi="Arial" w:cs="Arial"/>
                <w:color w:val="000000"/>
                <w:lang w:eastAsia="en-GB"/>
              </w:rPr>
              <w:t>Yes</w:t>
            </w:r>
          </w:p>
        </w:tc>
        <w:tc>
          <w:tcPr>
            <w:tcW w:w="4252" w:type="dxa"/>
            <w:shd w:val="clear" w:color="auto" w:fill="F2F2F2" w:themeFill="background1" w:themeFillShade="F2"/>
          </w:tcPr>
          <w:p w14:paraId="31D4D6C1" w14:textId="77777777" w:rsidR="00377DCD" w:rsidRDefault="00377DCD" w:rsidP="00377DCD">
            <w:pPr>
              <w:pStyle w:val="Default"/>
            </w:pPr>
            <w:r>
              <w:rPr>
                <w:sz w:val="22"/>
                <w:szCs w:val="22"/>
              </w:rPr>
              <w:t xml:space="preserve">We monitor themes as part of the lessons learnt to understand if failings are systematic rather than one off issues. </w:t>
            </w:r>
          </w:p>
          <w:p w14:paraId="0D1F0559" w14:textId="77777777" w:rsidR="002B794C" w:rsidRPr="00D1226A" w:rsidRDefault="002B794C" w:rsidP="00277159">
            <w:pPr>
              <w:spacing w:line="240" w:lineRule="auto"/>
              <w:rPr>
                <w:rFonts w:ascii="Arial" w:hAnsi="Arial" w:cs="Arial"/>
                <w:color w:val="000000"/>
                <w:lang w:eastAsia="en-GB"/>
              </w:rPr>
            </w:pP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7825CB11"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377DCD">
              <w:rPr>
                <w:rFonts w:ascii="Arial" w:hAnsi="Arial" w:cs="Arial"/>
                <w:color w:val="000000"/>
                <w:lang w:eastAsia="en-GB"/>
              </w:rPr>
              <w:t>Yes</w:t>
            </w:r>
          </w:p>
        </w:tc>
        <w:tc>
          <w:tcPr>
            <w:tcW w:w="4252" w:type="dxa"/>
            <w:shd w:val="clear" w:color="auto" w:fill="F2F2F2" w:themeFill="background1" w:themeFillShade="F2"/>
          </w:tcPr>
          <w:p w14:paraId="54B0A0DE" w14:textId="196937C8" w:rsidR="002B794C" w:rsidRPr="00D1226A" w:rsidRDefault="00313CF8" w:rsidP="00277159">
            <w:pPr>
              <w:spacing w:line="240" w:lineRule="auto"/>
              <w:rPr>
                <w:rFonts w:ascii="Arial" w:hAnsi="Arial" w:cs="Arial"/>
                <w:color w:val="000000"/>
                <w:lang w:eastAsia="en-GB"/>
              </w:rPr>
            </w:pPr>
            <w:r>
              <w:rPr>
                <w:rFonts w:ascii="Arial" w:hAnsi="Arial" w:cs="Arial"/>
                <w:color w:val="000000"/>
                <w:lang w:eastAsia="en-GB"/>
              </w:rPr>
              <w:t>This would be done as required.</w:t>
            </w:r>
          </w:p>
        </w:tc>
      </w:tr>
    </w:tbl>
    <w:p w14:paraId="1BA74FF7" w14:textId="77777777" w:rsidR="00025269" w:rsidRDefault="00025269" w:rsidP="0068233F">
      <w:pPr>
        <w:pStyle w:val="Heading1"/>
      </w:pPr>
    </w:p>
    <w:p w14:paraId="0CFAE287" w14:textId="77777777" w:rsidR="00025269" w:rsidRDefault="00025269" w:rsidP="0068233F">
      <w:pPr>
        <w:pStyle w:val="Heading1"/>
      </w:pPr>
    </w:p>
    <w:p w14:paraId="07058B9A" w14:textId="7CB37E22" w:rsidR="00906DB0" w:rsidRDefault="00906DB0" w:rsidP="0068233F">
      <w:pPr>
        <w:pStyle w:val="Heading1"/>
      </w:pPr>
      <w:r w:rsidRPr="00D1226A">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75990953" w14:textId="44B47EBF" w:rsidR="002B794C" w:rsidRPr="00D1226A"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r w:rsidR="00025269">
              <w:rPr>
                <w:rFonts w:ascii="Arial" w:hAnsi="Arial" w:cs="Arial"/>
                <w:color w:val="000000"/>
                <w:lang w:eastAsia="en-GB"/>
              </w:rPr>
              <w:t>Partially.</w:t>
            </w:r>
          </w:p>
        </w:tc>
        <w:tc>
          <w:tcPr>
            <w:tcW w:w="4252" w:type="dxa"/>
          </w:tcPr>
          <w:p w14:paraId="507BFF46" w14:textId="77777777" w:rsidR="00150AE6" w:rsidRPr="00CE53AF" w:rsidRDefault="004B4463" w:rsidP="00150AE6">
            <w:pPr>
              <w:spacing w:line="240" w:lineRule="auto"/>
              <w:rPr>
                <w:rFonts w:ascii="Arial" w:hAnsi="Arial" w:cs="Arial"/>
                <w:color w:val="000000"/>
                <w:lang w:eastAsia="en-GB"/>
              </w:rPr>
            </w:pPr>
            <w:r w:rsidRPr="005D2108">
              <w:rPr>
                <w:rFonts w:ascii="Arial" w:hAnsi="Arial" w:cs="Arial"/>
                <w:color w:val="000000"/>
                <w:lang w:eastAsia="en-GB"/>
              </w:rPr>
              <w:t xml:space="preserve">This is reported to the Board </w:t>
            </w:r>
            <w:r w:rsidR="00025269" w:rsidRPr="005D2108">
              <w:rPr>
                <w:rFonts w:ascii="Arial" w:hAnsi="Arial" w:cs="Arial"/>
                <w:color w:val="000000"/>
                <w:lang w:eastAsia="en-GB"/>
              </w:rPr>
              <w:t>and considered for service improvement and shared with staff.  Lessons learned from the few complaints we receive will be reported to tenants from April 2024.</w:t>
            </w:r>
            <w:r w:rsidR="00150AE6">
              <w:rPr>
                <w:rFonts w:ascii="Arial" w:hAnsi="Arial" w:cs="Arial"/>
                <w:color w:val="000000"/>
                <w:lang w:eastAsia="en-GB"/>
              </w:rPr>
              <w:t xml:space="preserve"> The objective, as set out in the policy, is to identify “o</w:t>
            </w:r>
            <w:r w:rsidR="00150AE6" w:rsidRPr="00CE53AF">
              <w:rPr>
                <w:rFonts w:ascii="Arial" w:hAnsi="Arial" w:cs="Arial"/>
                <w:color w:val="000000"/>
                <w:lang w:eastAsia="en-GB"/>
              </w:rPr>
              <w:t>pportunities for the organisation to review practice and consider changes to the procedures</w:t>
            </w:r>
            <w:r w:rsidR="00150AE6">
              <w:rPr>
                <w:rFonts w:ascii="Arial" w:hAnsi="Arial" w:cs="Arial"/>
                <w:color w:val="000000"/>
                <w:lang w:eastAsia="en-GB"/>
              </w:rPr>
              <w:t>”</w:t>
            </w:r>
            <w:r w:rsidR="00150AE6" w:rsidRPr="00CE53AF">
              <w:rPr>
                <w:rFonts w:ascii="Arial" w:hAnsi="Arial" w:cs="Arial"/>
                <w:color w:val="000000"/>
                <w:lang w:eastAsia="en-GB"/>
              </w:rPr>
              <w:t>.</w:t>
            </w:r>
          </w:p>
          <w:p w14:paraId="5DDE3EF8" w14:textId="3FFD0BCD" w:rsidR="002B794C" w:rsidRPr="00D1226A" w:rsidRDefault="002B794C" w:rsidP="00513C5C">
            <w:pPr>
              <w:spacing w:line="240" w:lineRule="auto"/>
              <w:rPr>
                <w:rFonts w:ascii="Arial" w:hAnsi="Arial" w:cs="Arial"/>
                <w:color w:val="000000"/>
                <w:lang w:eastAsia="en-GB"/>
              </w:rPr>
            </w:pP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03E31CB6" w:rsidR="002B794C" w:rsidRPr="00D1226A" w:rsidRDefault="00683952" w:rsidP="00017A8F">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1FD02748" w14:textId="2DEDE397" w:rsidR="002B794C" w:rsidRPr="00D1226A" w:rsidRDefault="00683952" w:rsidP="00017A8F">
            <w:pPr>
              <w:spacing w:line="240" w:lineRule="auto"/>
              <w:rPr>
                <w:rFonts w:ascii="Arial" w:hAnsi="Arial" w:cs="Arial"/>
                <w:color w:val="000000"/>
                <w:lang w:eastAsia="en-GB"/>
              </w:rPr>
            </w:pPr>
            <w:r>
              <w:rPr>
                <w:rFonts w:ascii="Arial" w:hAnsi="Arial" w:cs="Arial"/>
                <w:color w:val="000000"/>
                <w:lang w:eastAsia="en-GB"/>
              </w:rPr>
              <w:t>Agreed by the Board Feb 25.</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lastRenderedPageBreak/>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1FDD18DB"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lastRenderedPageBreak/>
              <w:t> </w:t>
            </w:r>
            <w:r w:rsidR="00E43E33">
              <w:rPr>
                <w:rFonts w:ascii="Arial" w:hAnsi="Arial" w:cs="Arial"/>
                <w:color w:val="000000"/>
                <w:lang w:eastAsia="en-GB"/>
              </w:rPr>
              <w:t>Partially</w:t>
            </w:r>
            <w:r w:rsidR="004D05DB">
              <w:rPr>
                <w:rFonts w:ascii="Arial" w:hAnsi="Arial" w:cs="Arial"/>
                <w:color w:val="000000"/>
                <w:lang w:eastAsia="en-GB"/>
              </w:rPr>
              <w:t xml:space="preserve">  </w:t>
            </w:r>
          </w:p>
        </w:tc>
        <w:tc>
          <w:tcPr>
            <w:tcW w:w="4252" w:type="dxa"/>
            <w:shd w:val="clear" w:color="auto" w:fill="F2F2F2" w:themeFill="background1" w:themeFillShade="F2"/>
          </w:tcPr>
          <w:p w14:paraId="66D69907" w14:textId="77777777" w:rsidR="00150AE6" w:rsidRPr="00150AE6" w:rsidRDefault="00150AE6" w:rsidP="00017A8F">
            <w:pPr>
              <w:spacing w:line="240" w:lineRule="auto"/>
              <w:rPr>
                <w:rFonts w:ascii="Arial" w:hAnsi="Arial" w:cs="Arial"/>
                <w:color w:val="000000"/>
                <w:highlight w:val="yellow"/>
                <w:lang w:eastAsia="en-GB"/>
              </w:rPr>
            </w:pPr>
          </w:p>
          <w:p w14:paraId="416B8356" w14:textId="0FBDEA46" w:rsidR="00215560" w:rsidRPr="00520F54" w:rsidRDefault="00520F54" w:rsidP="00017A8F">
            <w:pPr>
              <w:spacing w:line="240" w:lineRule="auto"/>
              <w:rPr>
                <w:rFonts w:ascii="Arial" w:hAnsi="Arial" w:cs="Arial"/>
                <w:color w:val="000000"/>
                <w:lang w:eastAsia="en-GB"/>
              </w:rPr>
            </w:pPr>
            <w:r>
              <w:rPr>
                <w:rFonts w:ascii="Arial" w:hAnsi="Arial" w:cs="Arial"/>
                <w:color w:val="000000"/>
                <w:lang w:eastAsia="en-GB"/>
              </w:rPr>
              <w:t xml:space="preserve">Complaints are discussed at Board </w:t>
            </w:r>
            <w:r w:rsidR="00661C80">
              <w:rPr>
                <w:rFonts w:ascii="Arial" w:hAnsi="Arial" w:cs="Arial"/>
                <w:color w:val="000000"/>
                <w:lang w:eastAsia="en-GB"/>
              </w:rPr>
              <w:t xml:space="preserve">meetings, with lessons learned and agreed improvement plans.  </w:t>
            </w:r>
            <w:r w:rsidR="00182ADA">
              <w:rPr>
                <w:rFonts w:ascii="Arial" w:hAnsi="Arial" w:cs="Arial"/>
                <w:color w:val="000000"/>
                <w:lang w:eastAsia="en-GB"/>
              </w:rPr>
              <w:t xml:space="preserve">Going forward the Board will review the </w:t>
            </w:r>
            <w:r w:rsidR="002952DA">
              <w:rPr>
                <w:rFonts w:ascii="Arial" w:hAnsi="Arial" w:cs="Arial"/>
                <w:color w:val="000000"/>
                <w:lang w:eastAsia="en-GB"/>
              </w:rPr>
              <w:t xml:space="preserve">self assessment of compliance and </w:t>
            </w:r>
            <w:r w:rsidR="001756D2">
              <w:rPr>
                <w:rFonts w:ascii="Arial" w:hAnsi="Arial" w:cs="Arial"/>
                <w:color w:val="000000"/>
                <w:lang w:eastAsia="en-GB"/>
              </w:rPr>
              <w:t xml:space="preserve">consider </w:t>
            </w:r>
            <w:r w:rsidR="001756D2">
              <w:rPr>
                <w:rFonts w:ascii="Arial" w:hAnsi="Arial" w:cs="Arial"/>
                <w:color w:val="000000"/>
                <w:lang w:eastAsia="en-GB"/>
              </w:rPr>
              <w:lastRenderedPageBreak/>
              <w:t>complaint handling performance overall.  Whilst there ar</w:t>
            </w:r>
            <w:r w:rsidR="00D22225">
              <w:rPr>
                <w:rFonts w:ascii="Arial" w:hAnsi="Arial" w:cs="Arial"/>
                <w:color w:val="000000"/>
                <w:lang w:eastAsia="en-GB"/>
              </w:rPr>
              <w:t xml:space="preserve">e very few complaints received, the Board review them to make sure that trends, service failures and </w:t>
            </w:r>
            <w:r w:rsidR="006B1007">
              <w:rPr>
                <w:rFonts w:ascii="Arial" w:hAnsi="Arial" w:cs="Arial"/>
                <w:color w:val="000000"/>
                <w:lang w:eastAsia="en-GB"/>
              </w:rPr>
              <w:t>emerging issues are explored and considered.</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51F6DF54"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2847E0">
              <w:rPr>
                <w:rFonts w:ascii="Arial" w:hAnsi="Arial" w:cs="Arial"/>
                <w:color w:val="000000"/>
                <w:lang w:eastAsia="en-GB"/>
              </w:rPr>
              <w:t>Yes</w:t>
            </w:r>
          </w:p>
        </w:tc>
        <w:tc>
          <w:tcPr>
            <w:tcW w:w="4252" w:type="dxa"/>
            <w:shd w:val="clear" w:color="auto" w:fill="F2F2F2" w:themeFill="background1" w:themeFillShade="F2"/>
          </w:tcPr>
          <w:p w14:paraId="7BD78254" w14:textId="67139B54" w:rsidR="002B794C" w:rsidRPr="00D1226A" w:rsidRDefault="002847E0" w:rsidP="00017A8F">
            <w:pPr>
              <w:spacing w:line="240" w:lineRule="auto"/>
              <w:rPr>
                <w:rFonts w:ascii="Arial" w:hAnsi="Arial" w:cs="Arial"/>
                <w:color w:val="000000"/>
                <w:lang w:eastAsia="en-GB"/>
              </w:rPr>
            </w:pPr>
            <w:r w:rsidRPr="006B1007">
              <w:rPr>
                <w:rFonts w:ascii="Arial" w:hAnsi="Arial" w:cs="Arial"/>
                <w:color w:val="000000"/>
                <w:lang w:eastAsia="en-GB"/>
              </w:rPr>
              <w:t xml:space="preserve">This is </w:t>
            </w:r>
            <w:r w:rsidR="005F1FB7" w:rsidRPr="006B1007">
              <w:rPr>
                <w:rFonts w:ascii="Arial" w:hAnsi="Arial" w:cs="Arial"/>
                <w:color w:val="000000"/>
                <w:lang w:eastAsia="en-GB"/>
              </w:rPr>
              <w:t xml:space="preserve">reviewed by the managers and </w:t>
            </w:r>
            <w:r w:rsidRPr="006B1007">
              <w:rPr>
                <w:rFonts w:ascii="Arial" w:hAnsi="Arial" w:cs="Arial"/>
                <w:color w:val="000000"/>
                <w:lang w:eastAsia="en-GB"/>
              </w:rPr>
              <w:t xml:space="preserve">reported to the Board and considered for service improvement and shared with staff.  </w:t>
            </w: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have a collaborative and co-operative approach towards resolving complaints, working with colleagues across teams and departments</w:t>
            </w:r>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026C101C" w:rsidR="002B794C" w:rsidRPr="00D1226A" w:rsidRDefault="00E43E33" w:rsidP="00017A8F">
            <w:pPr>
              <w:spacing w:line="240" w:lineRule="auto"/>
              <w:rPr>
                <w:rFonts w:ascii="Arial" w:hAnsi="Arial" w:cs="Arial"/>
                <w:color w:val="000000"/>
                <w:lang w:eastAsia="en-GB"/>
              </w:rPr>
            </w:pPr>
            <w:r>
              <w:rPr>
                <w:rFonts w:ascii="Arial" w:hAnsi="Arial" w:cs="Arial"/>
                <w:color w:val="000000"/>
                <w:lang w:eastAsia="en-GB"/>
              </w:rPr>
              <w:t>No</w:t>
            </w:r>
          </w:p>
        </w:tc>
        <w:tc>
          <w:tcPr>
            <w:tcW w:w="4252" w:type="dxa"/>
            <w:shd w:val="clear" w:color="auto" w:fill="F2F2F2" w:themeFill="background1" w:themeFillShade="F2"/>
          </w:tcPr>
          <w:p w14:paraId="0A9B0E2D" w14:textId="0E7E4196" w:rsidR="002B794C" w:rsidRPr="00D1226A" w:rsidRDefault="005B4449" w:rsidP="00150AE6">
            <w:pPr>
              <w:spacing w:line="240" w:lineRule="auto"/>
              <w:rPr>
                <w:rFonts w:ascii="Arial" w:hAnsi="Arial" w:cs="Arial"/>
                <w:color w:val="000000"/>
                <w:lang w:eastAsia="en-GB"/>
              </w:rPr>
            </w:pPr>
            <w:r w:rsidRPr="006B1007">
              <w:rPr>
                <w:rFonts w:ascii="Arial" w:hAnsi="Arial" w:cs="Arial"/>
                <w:color w:val="000000"/>
                <w:lang w:eastAsia="en-GB"/>
              </w:rPr>
              <w:t xml:space="preserve">As a very small organisation we all work very closely to </w:t>
            </w:r>
            <w:r w:rsidR="008E3EDE" w:rsidRPr="006B1007">
              <w:rPr>
                <w:rFonts w:ascii="Arial" w:hAnsi="Arial" w:cs="Arial"/>
                <w:color w:val="000000"/>
                <w:lang w:eastAsia="en-GB"/>
              </w:rPr>
              <w:t xml:space="preserve">deliver services, and also to fix things when they go wrong.  </w:t>
            </w:r>
            <w:r w:rsidR="004D05DB" w:rsidRPr="006B1007">
              <w:rPr>
                <w:rFonts w:ascii="Arial" w:hAnsi="Arial" w:cs="Arial"/>
                <w:color w:val="000000"/>
                <w:lang w:eastAsia="en-GB"/>
              </w:rPr>
              <w:t>The Board will need to review this in order to introduce an objective which is appropriate for the size and nature of the organisation.</w:t>
            </w: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7143F29F"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EA0963">
              <w:rPr>
                <w:rFonts w:ascii="Arial" w:hAnsi="Arial" w:cs="Arial"/>
                <w:color w:val="000000"/>
                <w:lang w:eastAsia="en-GB"/>
              </w:rPr>
              <w:t>Yes</w:t>
            </w:r>
          </w:p>
        </w:tc>
        <w:tc>
          <w:tcPr>
            <w:tcW w:w="4252" w:type="dxa"/>
          </w:tcPr>
          <w:p w14:paraId="0E886161" w14:textId="77777777" w:rsidR="002B794C" w:rsidRPr="00D1226A" w:rsidRDefault="002B794C" w:rsidP="003E74C0">
            <w:pPr>
              <w:spacing w:line="240" w:lineRule="auto"/>
              <w:rPr>
                <w:rFonts w:ascii="Arial" w:hAnsi="Arial" w:cs="Arial"/>
                <w:color w:val="000000"/>
                <w:lang w:eastAsia="en-GB"/>
              </w:rPr>
            </w:pP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27BE8CCA" w14:textId="3F28AA79"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EA0963">
              <w:rPr>
                <w:rFonts w:ascii="Arial" w:hAnsi="Arial" w:cs="Arial"/>
                <w:color w:val="000000"/>
                <w:lang w:eastAsia="en-GB"/>
              </w:rPr>
              <w:t>Yes</w:t>
            </w:r>
          </w:p>
        </w:tc>
        <w:tc>
          <w:tcPr>
            <w:tcW w:w="4252" w:type="dxa"/>
          </w:tcPr>
          <w:p w14:paraId="11E5E3A0" w14:textId="2F289072" w:rsidR="002B794C" w:rsidRPr="00D1226A" w:rsidRDefault="00EA0963" w:rsidP="003E74C0">
            <w:pPr>
              <w:spacing w:line="240" w:lineRule="auto"/>
              <w:rPr>
                <w:rFonts w:ascii="Arial" w:hAnsi="Arial" w:cs="Arial"/>
                <w:color w:val="000000"/>
                <w:lang w:eastAsia="en-GB"/>
              </w:rPr>
            </w:pPr>
            <w:r>
              <w:rPr>
                <w:rFonts w:ascii="Arial" w:hAnsi="Arial" w:cs="Arial"/>
                <w:color w:val="000000"/>
                <w:lang w:eastAsia="en-GB"/>
              </w:rPr>
              <w:t xml:space="preserve">This compliance review has been undertaken following a review of the </w:t>
            </w:r>
            <w:r>
              <w:rPr>
                <w:rFonts w:ascii="Arial" w:hAnsi="Arial" w:cs="Arial"/>
                <w:color w:val="000000"/>
                <w:lang w:eastAsia="en-GB"/>
              </w:rPr>
              <w:lastRenderedPageBreak/>
              <w:t xml:space="preserve">policy, following the Ombudsman’s complaints </w:t>
            </w:r>
            <w:r w:rsidR="007B4E10">
              <w:rPr>
                <w:rFonts w:ascii="Arial" w:hAnsi="Arial" w:cs="Arial"/>
                <w:color w:val="000000"/>
                <w:lang w:eastAsia="en-GB"/>
              </w:rPr>
              <w:t>h</w:t>
            </w:r>
            <w:r>
              <w:rPr>
                <w:rFonts w:ascii="Arial" w:hAnsi="Arial" w:cs="Arial"/>
                <w:color w:val="000000"/>
                <w:lang w:eastAsia="en-GB"/>
              </w:rPr>
              <w:t>andling expectations.</w:t>
            </w: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hideMark/>
          </w:tcPr>
          <w:p w14:paraId="7EB08719" w14:textId="46D0E102"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7B4E10">
              <w:rPr>
                <w:rFonts w:ascii="Arial" w:hAnsi="Arial" w:cs="Arial"/>
                <w:color w:val="000000"/>
                <w:lang w:eastAsia="en-GB"/>
              </w:rPr>
              <w:t>Yes</w:t>
            </w:r>
          </w:p>
        </w:tc>
        <w:tc>
          <w:tcPr>
            <w:tcW w:w="4252" w:type="dxa"/>
          </w:tcPr>
          <w:p w14:paraId="0FA11618" w14:textId="29AA43DC" w:rsidR="002B794C" w:rsidRPr="00D1226A" w:rsidRDefault="007B4E10" w:rsidP="003E74C0">
            <w:pPr>
              <w:spacing w:line="240" w:lineRule="auto"/>
              <w:rPr>
                <w:rFonts w:ascii="Arial" w:hAnsi="Arial" w:cs="Arial"/>
                <w:color w:val="000000"/>
                <w:lang w:eastAsia="en-GB"/>
              </w:rPr>
            </w:pPr>
            <w:r w:rsidRPr="00D23BDF">
              <w:rPr>
                <w:rFonts w:ascii="Arial" w:hAnsi="Arial" w:cs="Arial"/>
                <w:color w:val="000000"/>
                <w:lang w:eastAsia="en-GB"/>
              </w:rPr>
              <w:t>The self assessment has been sent electronically to all Board members and will be fully reviewed in the May Board meeting.  This and the revised policy will also be published on the website and in the annual report.</w:t>
            </w:r>
          </w:p>
        </w:tc>
      </w:tr>
    </w:tbl>
    <w:p w14:paraId="2E35A685" w14:textId="77777777" w:rsidR="003E74C0" w:rsidRPr="00D1226A" w:rsidRDefault="003E74C0" w:rsidP="004C5FA3">
      <w:pPr>
        <w:rPr>
          <w:rFonts w:ascii="Arial" w:hAnsi="Arial" w:cs="Arial"/>
        </w:rPr>
      </w:pPr>
    </w:p>
    <w:sectPr w:rsidR="003E74C0" w:rsidRPr="00D1226A" w:rsidSect="005055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F592" w14:textId="77777777" w:rsidR="00251915" w:rsidRDefault="00251915" w:rsidP="00035EFB">
      <w:pPr>
        <w:spacing w:after="0" w:line="240" w:lineRule="auto"/>
      </w:pPr>
      <w:r>
        <w:separator/>
      </w:r>
    </w:p>
  </w:endnote>
  <w:endnote w:type="continuationSeparator" w:id="0">
    <w:p w14:paraId="7E55FB2E" w14:textId="77777777" w:rsidR="00251915" w:rsidRDefault="00251915"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FC649" w14:textId="77777777" w:rsidR="00251915" w:rsidRDefault="00251915" w:rsidP="00035EFB">
      <w:pPr>
        <w:spacing w:after="0" w:line="240" w:lineRule="auto"/>
      </w:pPr>
      <w:r>
        <w:separator/>
      </w:r>
    </w:p>
  </w:footnote>
  <w:footnote w:type="continuationSeparator" w:id="0">
    <w:p w14:paraId="1F0A27A5" w14:textId="77777777" w:rsidR="00251915" w:rsidRDefault="00251915"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354A"/>
    <w:rsid w:val="0001791E"/>
    <w:rsid w:val="00017A8F"/>
    <w:rsid w:val="00025269"/>
    <w:rsid w:val="000262C3"/>
    <w:rsid w:val="00027B7B"/>
    <w:rsid w:val="00034CC4"/>
    <w:rsid w:val="00035EFB"/>
    <w:rsid w:val="0003636C"/>
    <w:rsid w:val="00053AE2"/>
    <w:rsid w:val="000552AA"/>
    <w:rsid w:val="00070CF0"/>
    <w:rsid w:val="00077DA9"/>
    <w:rsid w:val="00081E6A"/>
    <w:rsid w:val="00083669"/>
    <w:rsid w:val="000877FF"/>
    <w:rsid w:val="00095098"/>
    <w:rsid w:val="000C2F4E"/>
    <w:rsid w:val="000E19F1"/>
    <w:rsid w:val="001069DD"/>
    <w:rsid w:val="00116265"/>
    <w:rsid w:val="0011779F"/>
    <w:rsid w:val="001235D7"/>
    <w:rsid w:val="00150AE6"/>
    <w:rsid w:val="00167FC1"/>
    <w:rsid w:val="001756D2"/>
    <w:rsid w:val="00176C13"/>
    <w:rsid w:val="00182658"/>
    <w:rsid w:val="00182ADA"/>
    <w:rsid w:val="001908FF"/>
    <w:rsid w:val="00190DD5"/>
    <w:rsid w:val="001A320E"/>
    <w:rsid w:val="001C06E4"/>
    <w:rsid w:val="001C0728"/>
    <w:rsid w:val="001D593D"/>
    <w:rsid w:val="001E2D61"/>
    <w:rsid w:val="001F6089"/>
    <w:rsid w:val="001F6FFA"/>
    <w:rsid w:val="00215207"/>
    <w:rsid w:val="00215560"/>
    <w:rsid w:val="00226A98"/>
    <w:rsid w:val="00246D46"/>
    <w:rsid w:val="00251915"/>
    <w:rsid w:val="002678F8"/>
    <w:rsid w:val="00277159"/>
    <w:rsid w:val="00283C6E"/>
    <w:rsid w:val="002847E0"/>
    <w:rsid w:val="002952DA"/>
    <w:rsid w:val="002A6F31"/>
    <w:rsid w:val="002B794C"/>
    <w:rsid w:val="002C7098"/>
    <w:rsid w:val="002E0A09"/>
    <w:rsid w:val="002E7A11"/>
    <w:rsid w:val="00313CF8"/>
    <w:rsid w:val="0032698B"/>
    <w:rsid w:val="003311DE"/>
    <w:rsid w:val="00335B05"/>
    <w:rsid w:val="003419FE"/>
    <w:rsid w:val="003550A7"/>
    <w:rsid w:val="00362D3A"/>
    <w:rsid w:val="00376E55"/>
    <w:rsid w:val="00377DCD"/>
    <w:rsid w:val="003A5602"/>
    <w:rsid w:val="003B56DA"/>
    <w:rsid w:val="003E0A13"/>
    <w:rsid w:val="003E74C0"/>
    <w:rsid w:val="003F75A2"/>
    <w:rsid w:val="0043735B"/>
    <w:rsid w:val="00474FE7"/>
    <w:rsid w:val="004A323F"/>
    <w:rsid w:val="004B4463"/>
    <w:rsid w:val="004B7720"/>
    <w:rsid w:val="004C1688"/>
    <w:rsid w:val="004C262B"/>
    <w:rsid w:val="004C5FA3"/>
    <w:rsid w:val="004D05DB"/>
    <w:rsid w:val="004D0C2E"/>
    <w:rsid w:val="004D2E23"/>
    <w:rsid w:val="004D5E8D"/>
    <w:rsid w:val="004E6870"/>
    <w:rsid w:val="00504BF2"/>
    <w:rsid w:val="00505541"/>
    <w:rsid w:val="00506440"/>
    <w:rsid w:val="00513C5C"/>
    <w:rsid w:val="0051429B"/>
    <w:rsid w:val="00520184"/>
    <w:rsid w:val="00520F54"/>
    <w:rsid w:val="005340AA"/>
    <w:rsid w:val="00563958"/>
    <w:rsid w:val="0058218C"/>
    <w:rsid w:val="005905AD"/>
    <w:rsid w:val="00595C57"/>
    <w:rsid w:val="005B4449"/>
    <w:rsid w:val="005B49B7"/>
    <w:rsid w:val="005B4B0E"/>
    <w:rsid w:val="005C4DEB"/>
    <w:rsid w:val="005D1B51"/>
    <w:rsid w:val="005D2108"/>
    <w:rsid w:val="005F0BB3"/>
    <w:rsid w:val="005F1FB7"/>
    <w:rsid w:val="00635259"/>
    <w:rsid w:val="00646978"/>
    <w:rsid w:val="00653612"/>
    <w:rsid w:val="00661C80"/>
    <w:rsid w:val="00671E23"/>
    <w:rsid w:val="0068233F"/>
    <w:rsid w:val="00683952"/>
    <w:rsid w:val="00692951"/>
    <w:rsid w:val="00695C4E"/>
    <w:rsid w:val="006A7A36"/>
    <w:rsid w:val="006B1007"/>
    <w:rsid w:val="006B74AE"/>
    <w:rsid w:val="006C014B"/>
    <w:rsid w:val="006C175B"/>
    <w:rsid w:val="006F62C4"/>
    <w:rsid w:val="0070290E"/>
    <w:rsid w:val="00706D43"/>
    <w:rsid w:val="00716342"/>
    <w:rsid w:val="00737F1B"/>
    <w:rsid w:val="00754880"/>
    <w:rsid w:val="00775032"/>
    <w:rsid w:val="00781FDA"/>
    <w:rsid w:val="00783119"/>
    <w:rsid w:val="00797011"/>
    <w:rsid w:val="007A5D36"/>
    <w:rsid w:val="007B4E10"/>
    <w:rsid w:val="007E7315"/>
    <w:rsid w:val="007F0A4D"/>
    <w:rsid w:val="007F3F3E"/>
    <w:rsid w:val="007F58B3"/>
    <w:rsid w:val="00806969"/>
    <w:rsid w:val="00810D70"/>
    <w:rsid w:val="008148E1"/>
    <w:rsid w:val="00825DA6"/>
    <w:rsid w:val="0085503D"/>
    <w:rsid w:val="00863572"/>
    <w:rsid w:val="00864FDA"/>
    <w:rsid w:val="00872590"/>
    <w:rsid w:val="008748D9"/>
    <w:rsid w:val="008777F1"/>
    <w:rsid w:val="00883D8C"/>
    <w:rsid w:val="00885EB7"/>
    <w:rsid w:val="00892A9A"/>
    <w:rsid w:val="00894591"/>
    <w:rsid w:val="008952A0"/>
    <w:rsid w:val="008A27C2"/>
    <w:rsid w:val="008A2D09"/>
    <w:rsid w:val="008A7F54"/>
    <w:rsid w:val="008B2210"/>
    <w:rsid w:val="008B4FC7"/>
    <w:rsid w:val="008E3EDE"/>
    <w:rsid w:val="008E535A"/>
    <w:rsid w:val="008F3AC6"/>
    <w:rsid w:val="009033BB"/>
    <w:rsid w:val="00906DB0"/>
    <w:rsid w:val="00920097"/>
    <w:rsid w:val="00922631"/>
    <w:rsid w:val="0099594F"/>
    <w:rsid w:val="009B42DD"/>
    <w:rsid w:val="009D6A17"/>
    <w:rsid w:val="009D6D2E"/>
    <w:rsid w:val="009E058E"/>
    <w:rsid w:val="009F6C17"/>
    <w:rsid w:val="00A040D0"/>
    <w:rsid w:val="00A072A1"/>
    <w:rsid w:val="00A106A4"/>
    <w:rsid w:val="00A36B42"/>
    <w:rsid w:val="00A5440D"/>
    <w:rsid w:val="00A72D77"/>
    <w:rsid w:val="00A91593"/>
    <w:rsid w:val="00AD1023"/>
    <w:rsid w:val="00AD4AAD"/>
    <w:rsid w:val="00AD6879"/>
    <w:rsid w:val="00AE0571"/>
    <w:rsid w:val="00AE37C0"/>
    <w:rsid w:val="00AE4D1F"/>
    <w:rsid w:val="00B04A51"/>
    <w:rsid w:val="00B07DF8"/>
    <w:rsid w:val="00B12656"/>
    <w:rsid w:val="00B1341C"/>
    <w:rsid w:val="00B205BD"/>
    <w:rsid w:val="00B22B2A"/>
    <w:rsid w:val="00B32A3E"/>
    <w:rsid w:val="00B54714"/>
    <w:rsid w:val="00B55426"/>
    <w:rsid w:val="00B71AC6"/>
    <w:rsid w:val="00B72254"/>
    <w:rsid w:val="00B90DD9"/>
    <w:rsid w:val="00B94F1C"/>
    <w:rsid w:val="00BA01D7"/>
    <w:rsid w:val="00BD15ED"/>
    <w:rsid w:val="00C302E9"/>
    <w:rsid w:val="00C34CE1"/>
    <w:rsid w:val="00C4229E"/>
    <w:rsid w:val="00C4644C"/>
    <w:rsid w:val="00C56397"/>
    <w:rsid w:val="00C67263"/>
    <w:rsid w:val="00C97D64"/>
    <w:rsid w:val="00CA2E4B"/>
    <w:rsid w:val="00CB16D2"/>
    <w:rsid w:val="00CC4D18"/>
    <w:rsid w:val="00CE53AF"/>
    <w:rsid w:val="00CF7635"/>
    <w:rsid w:val="00D1226A"/>
    <w:rsid w:val="00D126FC"/>
    <w:rsid w:val="00D22225"/>
    <w:rsid w:val="00D23BDF"/>
    <w:rsid w:val="00D31D9C"/>
    <w:rsid w:val="00D46E5E"/>
    <w:rsid w:val="00D63385"/>
    <w:rsid w:val="00D74351"/>
    <w:rsid w:val="00DB3386"/>
    <w:rsid w:val="00DD0507"/>
    <w:rsid w:val="00DD4915"/>
    <w:rsid w:val="00DD5ECA"/>
    <w:rsid w:val="00E06372"/>
    <w:rsid w:val="00E11DC3"/>
    <w:rsid w:val="00E13740"/>
    <w:rsid w:val="00E15BEF"/>
    <w:rsid w:val="00E23C8A"/>
    <w:rsid w:val="00E25C11"/>
    <w:rsid w:val="00E40F80"/>
    <w:rsid w:val="00E43E33"/>
    <w:rsid w:val="00E44724"/>
    <w:rsid w:val="00E56EC8"/>
    <w:rsid w:val="00E77756"/>
    <w:rsid w:val="00E827D2"/>
    <w:rsid w:val="00E90860"/>
    <w:rsid w:val="00E96258"/>
    <w:rsid w:val="00EA0963"/>
    <w:rsid w:val="00EA622F"/>
    <w:rsid w:val="00EB47C9"/>
    <w:rsid w:val="00EB5B7D"/>
    <w:rsid w:val="00EC6277"/>
    <w:rsid w:val="00F05756"/>
    <w:rsid w:val="00F1059C"/>
    <w:rsid w:val="00F22D47"/>
    <w:rsid w:val="00F24D6E"/>
    <w:rsid w:val="00F25FCE"/>
    <w:rsid w:val="00F26127"/>
    <w:rsid w:val="00F32744"/>
    <w:rsid w:val="00F343E2"/>
    <w:rsid w:val="00F42F2D"/>
    <w:rsid w:val="00F51A06"/>
    <w:rsid w:val="00F5471B"/>
    <w:rsid w:val="00FB264D"/>
    <w:rsid w:val="00FD5B90"/>
    <w:rsid w:val="00FD7249"/>
    <w:rsid w:val="00FF157C"/>
    <w:rsid w:val="00FF1AE5"/>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15:docId w15:val="{26AB27F7-E853-4BE0-8A2B-3E95FB42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paragraph" w:customStyle="1" w:styleId="Default">
    <w:name w:val="Default"/>
    <w:rsid w:val="004B77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2.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4.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2025-03-06T10:07:00Z</dcterms:created>
  <dcterms:modified xsi:type="dcterms:W3CDTF">2025-03-06T10:10:00Z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